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proofErr w:type="gramStart"/>
      <w:r w:rsidRPr="00620F9C">
        <w:rPr>
          <w:rFonts w:ascii="Open Sans" w:hAnsi="Open Sans" w:cs="Open Sans"/>
          <w:b/>
          <w:sz w:val="20"/>
          <w:szCs w:val="20"/>
        </w:rPr>
        <w:t>202</w:t>
      </w:r>
      <w:r w:rsidR="00675C54" w:rsidRPr="00620F9C">
        <w:rPr>
          <w:rFonts w:ascii="Open Sans" w:hAnsi="Open Sans" w:cs="Open Sans"/>
          <w:b/>
          <w:sz w:val="20"/>
          <w:szCs w:val="20"/>
        </w:rPr>
        <w:t>2 -</w:t>
      </w:r>
      <w:proofErr w:type="gramEnd"/>
      <w:r w:rsidR="00675C54" w:rsidRPr="00620F9C">
        <w:rPr>
          <w:rFonts w:ascii="Open Sans" w:hAnsi="Open Sans" w:cs="Open Sans"/>
          <w:b/>
          <w:sz w:val="20"/>
          <w:szCs w:val="20"/>
        </w:rPr>
        <w:t xml:space="preserve">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6AFA073A" w:rsidR="009F6C5A" w:rsidRPr="00620F9C" w:rsidRDefault="00FD5F5D" w:rsidP="00C67047">
            <w:pPr>
              <w:rPr>
                <w:rFonts w:ascii="Open Sans" w:hAnsi="Open Sans" w:cs="Open Sans"/>
                <w:sz w:val="20"/>
                <w:szCs w:val="20"/>
              </w:rPr>
            </w:pPr>
            <w:r>
              <w:rPr>
                <w:rFonts w:ascii="Open Sans" w:hAnsi="Open Sans" w:cs="Open Sans"/>
                <w:sz w:val="20"/>
                <w:szCs w:val="20"/>
              </w:rPr>
              <w:t>26-31</w:t>
            </w:r>
            <w:r w:rsidR="00317344">
              <w:rPr>
                <w:rFonts w:ascii="Open Sans" w:hAnsi="Open Sans" w:cs="Open Sans"/>
                <w:sz w:val="20"/>
                <w:szCs w:val="20"/>
              </w:rPr>
              <w:t xml:space="preserve"> Aralık </w:t>
            </w:r>
            <w:r w:rsidR="009F6C5A" w:rsidRPr="00620F9C">
              <w:rPr>
                <w:rFonts w:ascii="Open Sans" w:hAnsi="Open Sans" w:cs="Open Sans"/>
                <w:sz w:val="20"/>
                <w:szCs w:val="20"/>
              </w:rPr>
              <w:t>202</w:t>
            </w:r>
            <w:r w:rsidR="00902650" w:rsidRPr="00620F9C">
              <w:rPr>
                <w:rFonts w:ascii="Open Sans" w:hAnsi="Open Sans" w:cs="Open Sans"/>
                <w:sz w:val="20"/>
                <w:szCs w:val="20"/>
              </w:rPr>
              <w:t>2</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603F3F3" w:rsidR="001E0C97" w:rsidRPr="00B5507B" w:rsidRDefault="00317344" w:rsidP="00C67047">
            <w:pPr>
              <w:rPr>
                <w:rFonts w:ascii="Times New Roman" w:hAnsi="Times New Roman" w:cs="Times New Roman"/>
                <w:sz w:val="20"/>
                <w:szCs w:val="20"/>
              </w:rPr>
            </w:pPr>
            <w:r w:rsidRPr="0019366B">
              <w:rPr>
                <w:rFonts w:ascii="Times New Roman" w:hAnsi="Times New Roman" w:cs="Times New Roman"/>
                <w:sz w:val="20"/>
                <w:szCs w:val="20"/>
              </w:rPr>
              <w:t xml:space="preserve">Yağ Üretimi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900A32" w:rsidRPr="00620F9C" w14:paraId="3E305B57" w14:textId="77777777" w:rsidTr="000E46F1">
        <w:trPr>
          <w:trHeight w:val="733"/>
          <w:jc w:val="center"/>
        </w:trPr>
        <w:tc>
          <w:tcPr>
            <w:tcW w:w="2094" w:type="dxa"/>
            <w:vAlign w:val="center"/>
          </w:tcPr>
          <w:p w14:paraId="13C74285" w14:textId="77777777" w:rsidR="00900A32" w:rsidRPr="00620F9C" w:rsidRDefault="00900A32" w:rsidP="00900A32">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3BDF7A26" w:rsidR="00900A32" w:rsidRPr="00620F9C" w:rsidRDefault="00FD5F5D" w:rsidP="00900A32">
            <w:pPr>
              <w:rPr>
                <w:rFonts w:ascii="Open Sans" w:hAnsi="Open Sans" w:cs="Open Sans"/>
                <w:sz w:val="20"/>
                <w:szCs w:val="20"/>
              </w:rPr>
            </w:pPr>
            <w:r w:rsidRPr="0019366B">
              <w:rPr>
                <w:rFonts w:ascii="Times New Roman" w:hAnsi="Times New Roman" w:cs="Times New Roman"/>
                <w:sz w:val="20"/>
                <w:szCs w:val="20"/>
              </w:rPr>
              <w:t>SBU.10.1. Ürün oluşturmada “mühendislik tasarım ve girişimcilik sürecini” uygular.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584622" w:rsidRPr="00620F9C" w14:paraId="574BC767" w14:textId="77777777" w:rsidTr="000E46F1">
        <w:trPr>
          <w:trHeight w:val="755"/>
          <w:jc w:val="center"/>
        </w:trPr>
        <w:tc>
          <w:tcPr>
            <w:tcW w:w="2094" w:type="dxa"/>
            <w:vAlign w:val="center"/>
          </w:tcPr>
          <w:p w14:paraId="32CAB983" w14:textId="77777777" w:rsidR="00584622" w:rsidRPr="00620F9C" w:rsidRDefault="00584622" w:rsidP="00584622">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4EE96F9" w14:textId="77777777" w:rsidR="00FD5F5D" w:rsidRDefault="00FD5F5D" w:rsidP="00713A4A">
            <w:pPr>
              <w:rPr>
                <w:rFonts w:ascii="Times New Roman" w:hAnsi="Times New Roman" w:cs="Times New Roman"/>
                <w:sz w:val="20"/>
                <w:szCs w:val="20"/>
              </w:rPr>
            </w:pPr>
            <w:r w:rsidRPr="0019366B">
              <w:rPr>
                <w:rFonts w:ascii="Times New Roman" w:hAnsi="Times New Roman" w:cs="Times New Roman"/>
                <w:sz w:val="20"/>
                <w:szCs w:val="20"/>
              </w:rPr>
              <w:t xml:space="preserve">Ürünü tasarlar ve sunar. </w:t>
            </w:r>
            <w:r>
              <w:rPr>
                <w:rFonts w:ascii="Times New Roman" w:hAnsi="Times New Roman" w:cs="Times New Roman"/>
                <w:sz w:val="20"/>
                <w:szCs w:val="20"/>
              </w:rPr>
              <w:t xml:space="preserve">       </w:t>
            </w:r>
          </w:p>
          <w:p w14:paraId="31C627E4" w14:textId="77777777" w:rsidR="00FD5F5D" w:rsidRDefault="00FD5F5D" w:rsidP="00713A4A">
            <w:pPr>
              <w:rPr>
                <w:rFonts w:ascii="Times New Roman" w:hAnsi="Times New Roman" w:cs="Times New Roman"/>
                <w:sz w:val="20"/>
                <w:szCs w:val="20"/>
              </w:rPr>
            </w:pPr>
            <w:r w:rsidRPr="0019366B">
              <w:rPr>
                <w:rFonts w:ascii="Times New Roman" w:hAnsi="Times New Roman" w:cs="Times New Roman"/>
                <w:sz w:val="20"/>
                <w:szCs w:val="20"/>
              </w:rPr>
              <w:t xml:space="preserve">- Ürün tasarımı ve yapımı okul ortamında yapılır. </w:t>
            </w:r>
            <w:r>
              <w:rPr>
                <w:rFonts w:ascii="Times New Roman" w:hAnsi="Times New Roman" w:cs="Times New Roman"/>
                <w:sz w:val="20"/>
                <w:szCs w:val="20"/>
              </w:rPr>
              <w:t xml:space="preserve">                         </w:t>
            </w:r>
          </w:p>
          <w:p w14:paraId="263B983B" w14:textId="1BAC0846" w:rsidR="00680ABE" w:rsidRPr="005F30AE" w:rsidRDefault="00FD5F5D" w:rsidP="00713A4A">
            <w:pPr>
              <w:rPr>
                <w:rFonts w:ascii="Times New Roman" w:hAnsi="Times New Roman" w:cs="Times New Roman"/>
                <w:sz w:val="20"/>
                <w:szCs w:val="20"/>
              </w:rPr>
            </w:pPr>
            <w:r w:rsidRPr="0019366B">
              <w:rPr>
                <w:rFonts w:ascii="Times New Roman" w:hAnsi="Times New Roman" w:cs="Times New Roman"/>
                <w:sz w:val="20"/>
                <w:szCs w:val="20"/>
              </w:rPr>
              <w:t>- Öğrencilerden; ürün geliştirme aşamasında deneme yapmaları, bu denemeler sonucunda elde ettikleri nitel ve nicel verileri, gözlemleri kaydetmeleri ve grafik okuma veya oluşturma becerileriyle değerlendirmeleri beklenir.</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16B560C8" w14:textId="0088CD83" w:rsidR="00FD5F5D" w:rsidRPr="00FD5F5D" w:rsidRDefault="00FD5F5D" w:rsidP="00FD5F5D">
            <w:pPr>
              <w:pStyle w:val="NormalWeb"/>
              <w:shd w:val="clear" w:color="auto" w:fill="FFFFFF"/>
              <w:spacing w:before="0" w:beforeAutospacing="0"/>
              <w:jc w:val="center"/>
              <w:rPr>
                <w:rFonts w:ascii="Poppins" w:hAnsi="Poppins" w:cs="Poppins"/>
                <w:b/>
                <w:bCs/>
                <w:sz w:val="20"/>
                <w:szCs w:val="20"/>
              </w:rPr>
            </w:pPr>
            <w:r w:rsidRPr="00FD5F5D">
              <w:rPr>
                <w:rFonts w:ascii="Poppins" w:hAnsi="Poppins" w:cs="Poppins"/>
                <w:b/>
                <w:bCs/>
                <w:sz w:val="20"/>
                <w:szCs w:val="20"/>
              </w:rPr>
              <w:t>ÜRÜN TASARLAMA</w:t>
            </w:r>
          </w:p>
          <w:p w14:paraId="5616A947" w14:textId="44D116F5"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B</w:t>
            </w:r>
            <w:r>
              <w:rPr>
                <w:rFonts w:ascii="Poppins" w:hAnsi="Poppins" w:cs="Poppins"/>
                <w:color w:val="212529"/>
                <w:sz w:val="20"/>
                <w:szCs w:val="20"/>
              </w:rPr>
              <w:t xml:space="preserve">aşarılı bir şekilde tamamlanan ürün tasarlama aşamaları, sektördeki rekabet gücünü de doğrudan etkiliyor. Firma ve işletmeler, faaliyet gösterdikleri sektöre yönelik yeni bir ürün üreterek kendi gelirlerini de hızlı bir şekilde artırabilir. Bunun için tasarım aşamalarının başarılı bir şekilde tamamlanması gerekiyor. </w:t>
            </w:r>
          </w:p>
          <w:p w14:paraId="341F2FF5" w14:textId="77777777" w:rsidR="00FD5F5D" w:rsidRDefault="00FD5F5D" w:rsidP="00FD5F5D">
            <w:pPr>
              <w:pStyle w:val="Balk2"/>
              <w:shd w:val="clear" w:color="auto" w:fill="FFFFFF"/>
              <w:outlineLvl w:val="1"/>
              <w:rPr>
                <w:rFonts w:ascii="Poppins" w:hAnsi="Poppins" w:cs="Poppins"/>
                <w:b/>
                <w:bCs/>
                <w:color w:val="253746"/>
              </w:rPr>
            </w:pPr>
            <w:r>
              <w:rPr>
                <w:rFonts w:ascii="Poppins" w:hAnsi="Poppins" w:cs="Poppins"/>
                <w:b/>
                <w:bCs/>
                <w:color w:val="253746"/>
              </w:rPr>
              <w:lastRenderedPageBreak/>
              <w:t>Ürün Tasarımı: İlk Aşama- Bir Fikrin Oluşması</w:t>
            </w:r>
          </w:p>
          <w:p w14:paraId="5A242301" w14:textId="490F594F" w:rsidR="00FD5F5D" w:rsidRPr="00FD5F5D" w:rsidRDefault="00FD5F5D" w:rsidP="00FD5F5D">
            <w:pPr>
              <w:pStyle w:val="Balk2"/>
              <w:shd w:val="clear" w:color="auto" w:fill="FFFFFF"/>
              <w:outlineLvl w:val="1"/>
              <w:rPr>
                <w:rFonts w:ascii="Poppins" w:hAnsi="Poppins" w:cs="Poppins"/>
                <w:color w:val="253746"/>
                <w:sz w:val="36"/>
                <w:szCs w:val="36"/>
              </w:rPr>
            </w:pPr>
            <w:r>
              <w:rPr>
                <w:rStyle w:val="Gl"/>
                <w:rFonts w:ascii="Poppins" w:hAnsi="Poppins" w:cs="Poppins"/>
                <w:color w:val="212529"/>
                <w:sz w:val="20"/>
                <w:szCs w:val="20"/>
              </w:rPr>
              <w:t>Ü</w:t>
            </w:r>
            <w:r>
              <w:rPr>
                <w:rStyle w:val="Gl"/>
                <w:rFonts w:ascii="Poppins" w:hAnsi="Poppins" w:cs="Poppins"/>
                <w:color w:val="212529"/>
                <w:sz w:val="20"/>
                <w:szCs w:val="20"/>
              </w:rPr>
              <w:t>rün tasarımı</w:t>
            </w:r>
            <w:r>
              <w:rPr>
                <w:rFonts w:ascii="Poppins" w:hAnsi="Poppins" w:cs="Poppins"/>
                <w:color w:val="212529"/>
                <w:sz w:val="20"/>
                <w:szCs w:val="20"/>
              </w:rPr>
              <w:t> için gerekli olan fikrin ortaya çıkması olarak ifade edilebilir. Fikir oluşturmak, yalnızca yeni bir ürün ortaya çıkarmakla ilişkili değil. Yani piyasada mevcut olan bir ürüne farklı özellikler katarak, ürünün bu şekilde üretilmesine yönelik ortaya çıkan düşünsel süreçler de fikir oluşturma eylemi olarak değerlendirilebilir.</w:t>
            </w:r>
          </w:p>
          <w:p w14:paraId="375FBAF3"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Fikir oluşturmak için;</w:t>
            </w:r>
          </w:p>
          <w:p w14:paraId="6E93D118"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Sektör analizi yapmak,</w:t>
            </w:r>
          </w:p>
          <w:p w14:paraId="37C9773C"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Talepleri doğru algılayabilmek,</w:t>
            </w:r>
          </w:p>
          <w:p w14:paraId="46F019D4"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İhtiyaçları ortaya koyabilmek,</w:t>
            </w:r>
          </w:p>
          <w:p w14:paraId="041BBC7A" w14:textId="77777777" w:rsidR="00FD5F5D" w:rsidRDefault="00FD5F5D" w:rsidP="00FD5F5D">
            <w:pPr>
              <w:numPr>
                <w:ilvl w:val="0"/>
                <w:numId w:val="6"/>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Rekabet düzeyini analiz etmek son derece önemli çalışmalar arasında yer alıyor.</w:t>
            </w:r>
          </w:p>
          <w:p w14:paraId="371A3B5C" w14:textId="77777777" w:rsidR="00FD5F5D" w:rsidRDefault="00FD5F5D" w:rsidP="00FD5F5D">
            <w:pPr>
              <w:pStyle w:val="Balk2"/>
              <w:shd w:val="clear" w:color="auto" w:fill="FFFFFF"/>
              <w:rPr>
                <w:rFonts w:ascii="Poppins" w:hAnsi="Poppins" w:cs="Poppins"/>
                <w:color w:val="253746"/>
                <w:sz w:val="36"/>
                <w:szCs w:val="36"/>
              </w:rPr>
            </w:pPr>
            <w:r>
              <w:rPr>
                <w:rFonts w:ascii="Poppins" w:hAnsi="Poppins" w:cs="Poppins"/>
                <w:b/>
                <w:bCs/>
                <w:color w:val="253746"/>
              </w:rPr>
              <w:t>İkinci Aşama: Planlama Yapmak</w:t>
            </w:r>
          </w:p>
          <w:p w14:paraId="04640441"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Ürün tasarlama sürecine ilişkin fikir bulunduktan sonra fikrin geliştirilmesine yönelik çalışmalar yapılmalı. Fikrin uygulanabilirliğine dönük olarak;</w:t>
            </w:r>
          </w:p>
          <w:p w14:paraId="0C03DE33" w14:textId="77777777" w:rsidR="00FD5F5D" w:rsidRDefault="00FD5F5D" w:rsidP="00FD5F5D">
            <w:pPr>
              <w:numPr>
                <w:ilvl w:val="0"/>
                <w:numId w:val="7"/>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Fizibilite yapmak,</w:t>
            </w:r>
          </w:p>
          <w:p w14:paraId="0B7000EE" w14:textId="77777777" w:rsidR="00FD5F5D" w:rsidRDefault="00FD5F5D" w:rsidP="00FD5F5D">
            <w:pPr>
              <w:numPr>
                <w:ilvl w:val="0"/>
                <w:numId w:val="7"/>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Görsel ve teknik tasarım süreçlerini planlamak,</w:t>
            </w:r>
          </w:p>
          <w:p w14:paraId="62E058FD" w14:textId="77777777" w:rsidR="00FD5F5D" w:rsidRDefault="00FD5F5D" w:rsidP="00FD5F5D">
            <w:pPr>
              <w:numPr>
                <w:ilvl w:val="0"/>
                <w:numId w:val="7"/>
              </w:numPr>
              <w:shd w:val="clear" w:color="auto" w:fill="FFFFFF"/>
              <w:spacing w:before="100" w:beforeAutospacing="1" w:after="100" w:afterAutospacing="1" w:line="240" w:lineRule="auto"/>
              <w:rPr>
                <w:rFonts w:ascii="Poppins" w:hAnsi="Poppins" w:cs="Poppins"/>
                <w:color w:val="212529"/>
                <w:sz w:val="20"/>
                <w:szCs w:val="20"/>
              </w:rPr>
            </w:pPr>
            <w:r>
              <w:rPr>
                <w:rFonts w:ascii="Poppins" w:hAnsi="Poppins" w:cs="Poppins"/>
                <w:color w:val="212529"/>
                <w:sz w:val="20"/>
                <w:szCs w:val="20"/>
              </w:rPr>
              <w:t>Sektörün durumunu somut bir şekilde ortaya koymak da ihmal edilmemesi gereken çalışmalar olarak dikkat çekiyor.</w:t>
            </w:r>
          </w:p>
          <w:p w14:paraId="53C2DA65"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Temel çalışmalar doğrultusunda tasarlanan ürün, teknik açıdan değerlendirmeye alınmalı. Yapılan kapsamlı analizler sonucunda ürünün seri bir şekilde üretilmesi rasyonel ise </w:t>
            </w:r>
            <w:r>
              <w:rPr>
                <w:rStyle w:val="Gl"/>
                <w:rFonts w:ascii="Poppins" w:hAnsi="Poppins" w:cs="Poppins"/>
                <w:color w:val="212529"/>
                <w:sz w:val="20"/>
                <w:szCs w:val="20"/>
              </w:rPr>
              <w:t>ürün tasarımı </w:t>
            </w:r>
            <w:r>
              <w:rPr>
                <w:rFonts w:ascii="Poppins" w:hAnsi="Poppins" w:cs="Poppins"/>
                <w:color w:val="212529"/>
                <w:sz w:val="20"/>
                <w:szCs w:val="20"/>
              </w:rPr>
              <w:t>artık ticarileşme süreci ile devam etmeli.</w:t>
            </w:r>
          </w:p>
          <w:p w14:paraId="75413186" w14:textId="77777777" w:rsidR="00FD5F5D" w:rsidRDefault="00FD5F5D" w:rsidP="00FD5F5D">
            <w:pPr>
              <w:pStyle w:val="Balk2"/>
              <w:shd w:val="clear" w:color="auto" w:fill="FFFFFF"/>
              <w:rPr>
                <w:rFonts w:ascii="Poppins" w:hAnsi="Poppins" w:cs="Poppins"/>
                <w:color w:val="253746"/>
                <w:sz w:val="36"/>
                <w:szCs w:val="36"/>
              </w:rPr>
            </w:pPr>
            <w:r>
              <w:rPr>
                <w:rFonts w:ascii="Poppins" w:hAnsi="Poppins" w:cs="Poppins"/>
                <w:b/>
                <w:bCs/>
                <w:color w:val="253746"/>
              </w:rPr>
              <w:t>Pazar Analizi ve Stratejik Çalışmalar İhmal Edilmemeli!</w:t>
            </w:r>
          </w:p>
          <w:p w14:paraId="6115E3E7" w14:textId="77777777" w:rsid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Ürünün tasarlanarak piyasa sunulması ile çalışmaların büyük oranda tamamlandığı söylenebilir. Ancak tasarım sürecinin başarılı olup olmadığı daha sonraki analizlerle ortaya koyulabilir. Yani ürün piyasada satışa sunulmadan önce, beklentileri ne ölçüde karşıladığı sorusu önem kazanıyor. Eğer, daha önce yapılan planlamalar doğrultusunda başarı elde edilemiyorsa tasarım süreci en baştan gözden geçirilmeli.</w:t>
            </w:r>
          </w:p>
          <w:p w14:paraId="6EC03117" w14:textId="4F937770" w:rsidR="00FC69A9" w:rsidRPr="00FD5F5D" w:rsidRDefault="00FD5F5D" w:rsidP="00FD5F5D">
            <w:pPr>
              <w:pStyle w:val="NormalWeb"/>
              <w:shd w:val="clear" w:color="auto" w:fill="FFFFFF"/>
              <w:spacing w:before="0" w:beforeAutospacing="0"/>
              <w:rPr>
                <w:rFonts w:ascii="Poppins" w:hAnsi="Poppins" w:cs="Poppins"/>
                <w:color w:val="212529"/>
                <w:sz w:val="20"/>
                <w:szCs w:val="20"/>
              </w:rPr>
            </w:pPr>
            <w:r>
              <w:rPr>
                <w:rFonts w:ascii="Poppins" w:hAnsi="Poppins" w:cs="Poppins"/>
                <w:color w:val="212529"/>
                <w:sz w:val="20"/>
                <w:szCs w:val="20"/>
              </w:rPr>
              <w:t>Tasarım aşamaları arasında hatalı olduğu düşünülen çalışmalar düzeltilmeli. Bunun için, tasarlanan ürünün doğurduğu etkileri test grubu ile gözlemlemek gerekiyor. Test grubundan elde edilen geri bildirimler sonucunda hedeflere yönelik sonuçlar alınıyorsa ürünün ticarileşmesi mümkün olabilir</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9"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4"/>
  </w:num>
  <w:num w:numId="2" w16cid:durableId="2051763170">
    <w:abstractNumId w:val="5"/>
  </w:num>
  <w:num w:numId="3" w16cid:durableId="980618387">
    <w:abstractNumId w:val="0"/>
  </w:num>
  <w:num w:numId="4" w16cid:durableId="520821002">
    <w:abstractNumId w:val="2"/>
  </w:num>
  <w:num w:numId="5" w16cid:durableId="337318788">
    <w:abstractNumId w:val="3"/>
  </w:num>
  <w:num w:numId="6" w16cid:durableId="1921021704">
    <w:abstractNumId w:val="1"/>
  </w:num>
  <w:num w:numId="7" w16cid:durableId="96608016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11A2C"/>
    <w:rsid w:val="0022575D"/>
    <w:rsid w:val="00240EFE"/>
    <w:rsid w:val="0024524C"/>
    <w:rsid w:val="00281017"/>
    <w:rsid w:val="003165B9"/>
    <w:rsid w:val="00317344"/>
    <w:rsid w:val="003408E7"/>
    <w:rsid w:val="003610DA"/>
    <w:rsid w:val="00371FAF"/>
    <w:rsid w:val="0039483D"/>
    <w:rsid w:val="003C0418"/>
    <w:rsid w:val="003D2F3F"/>
    <w:rsid w:val="003F0500"/>
    <w:rsid w:val="003F13DD"/>
    <w:rsid w:val="00472CB9"/>
    <w:rsid w:val="00494A0D"/>
    <w:rsid w:val="004A4D73"/>
    <w:rsid w:val="004A6D73"/>
    <w:rsid w:val="004C2DD7"/>
    <w:rsid w:val="004F0ECB"/>
    <w:rsid w:val="00502381"/>
    <w:rsid w:val="005119CB"/>
    <w:rsid w:val="00527CDC"/>
    <w:rsid w:val="005327CA"/>
    <w:rsid w:val="005414DB"/>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A554A"/>
    <w:rsid w:val="006B4059"/>
    <w:rsid w:val="006C126C"/>
    <w:rsid w:val="006D6F33"/>
    <w:rsid w:val="00713A4A"/>
    <w:rsid w:val="00714DB6"/>
    <w:rsid w:val="00734A8E"/>
    <w:rsid w:val="0074430A"/>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38D5"/>
    <w:rsid w:val="00EB58D9"/>
    <w:rsid w:val="00EC0761"/>
    <w:rsid w:val="00F176FB"/>
    <w:rsid w:val="00F210E2"/>
    <w:rsid w:val="00F4473D"/>
    <w:rsid w:val="00F75F55"/>
    <w:rsid w:val="00FB658D"/>
    <w:rsid w:val="00FC69A9"/>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2023-01-12T11:55:00Z</dcterms:created>
  <dcterms:modified xsi:type="dcterms:W3CDTF">2023-01-12T12:01:00Z</dcterms:modified>
</cp:coreProperties>
</file>