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6735BD" w:rsidRDefault="00A63678" w:rsidP="006735BD">
      <w:pPr>
        <w:spacing w:after="0"/>
        <w:jc w:val="center"/>
        <w:rPr>
          <w:rFonts w:asciiTheme="minorHAnsi" w:hAnsiTheme="minorHAnsi" w:cstheme="minorHAnsi"/>
          <w:b/>
        </w:rPr>
      </w:pPr>
      <w:r w:rsidRPr="006735BD">
        <w:rPr>
          <w:rFonts w:asciiTheme="minorHAnsi" w:hAnsiTheme="minorHAnsi" w:cstheme="minorHAnsi"/>
          <w:b/>
        </w:rPr>
        <w:t>202</w:t>
      </w:r>
      <w:r w:rsidR="006220B7" w:rsidRPr="006735BD">
        <w:rPr>
          <w:rFonts w:asciiTheme="minorHAnsi" w:hAnsiTheme="minorHAnsi" w:cstheme="minorHAnsi"/>
          <w:b/>
        </w:rPr>
        <w:t>5</w:t>
      </w:r>
      <w:r w:rsidR="00C27451" w:rsidRPr="006735BD">
        <w:rPr>
          <w:rFonts w:asciiTheme="minorHAnsi" w:hAnsiTheme="minorHAnsi" w:cstheme="minorHAnsi"/>
          <w:b/>
        </w:rPr>
        <w:t>-202</w:t>
      </w:r>
      <w:r w:rsidR="006220B7" w:rsidRPr="006735BD">
        <w:rPr>
          <w:rFonts w:asciiTheme="minorHAnsi" w:hAnsiTheme="minorHAnsi" w:cstheme="minorHAnsi"/>
          <w:b/>
        </w:rPr>
        <w:t>6</w:t>
      </w:r>
      <w:r w:rsidRPr="006735BD">
        <w:rPr>
          <w:rFonts w:asciiTheme="minorHAnsi" w:hAnsiTheme="minorHAnsi" w:cstheme="minorHAnsi"/>
          <w:b/>
        </w:rPr>
        <w:t xml:space="preserve"> EĞİTİM – ÖĞRETİM YILI ……</w:t>
      </w:r>
      <w:proofErr w:type="gramStart"/>
      <w:r w:rsidRPr="006735BD">
        <w:rPr>
          <w:rFonts w:asciiTheme="minorHAnsi" w:hAnsiTheme="minorHAnsi" w:cstheme="minorHAnsi"/>
          <w:b/>
        </w:rPr>
        <w:t>…….</w:t>
      </w:r>
      <w:proofErr w:type="gramEnd"/>
      <w:hyperlink r:id="rId6" w:history="1">
        <w:r w:rsidR="00C27451" w:rsidRPr="006735BD">
          <w:rPr>
            <w:rStyle w:val="Kpr"/>
            <w:rFonts w:asciiTheme="minorHAnsi" w:hAnsiTheme="minorHAnsi" w:cstheme="minorHAnsi"/>
            <w:b/>
            <w:color w:val="auto"/>
            <w:u w:val="none"/>
          </w:rPr>
          <w:t>www.fenusbilim.com</w:t>
        </w:r>
      </w:hyperlink>
      <w:r w:rsidR="00C27451" w:rsidRPr="006735BD">
        <w:rPr>
          <w:rFonts w:asciiTheme="minorHAnsi" w:hAnsiTheme="minorHAnsi" w:cstheme="minorHAnsi"/>
          <w:b/>
        </w:rPr>
        <w:t xml:space="preserve"> </w:t>
      </w:r>
      <w:r w:rsidRPr="006735BD">
        <w:rPr>
          <w:rFonts w:asciiTheme="minorHAnsi" w:hAnsiTheme="minorHAnsi" w:cstheme="minorHAnsi"/>
          <w:b/>
        </w:rPr>
        <w:t xml:space="preserve">OKULU </w:t>
      </w:r>
      <w:r w:rsidR="00E2550A" w:rsidRPr="006735BD">
        <w:rPr>
          <w:rFonts w:asciiTheme="minorHAnsi" w:hAnsiTheme="minorHAnsi" w:cstheme="minorHAnsi"/>
          <w:b/>
        </w:rPr>
        <w:t>6</w:t>
      </w:r>
      <w:r w:rsidRPr="006735BD">
        <w:rPr>
          <w:rFonts w:asciiTheme="minorHAnsi" w:hAnsiTheme="minorHAnsi" w:cstheme="minorHAnsi"/>
          <w:b/>
        </w:rPr>
        <w:t xml:space="preserve">. </w:t>
      </w:r>
      <w:r w:rsidR="006220B7" w:rsidRPr="006735BD">
        <w:rPr>
          <w:rFonts w:asciiTheme="minorHAnsi" w:hAnsiTheme="minorHAnsi" w:cstheme="minorHAnsi"/>
          <w:b/>
        </w:rPr>
        <w:t>SINIFLAR FEN</w:t>
      </w:r>
      <w:r w:rsidRPr="006735BD">
        <w:rPr>
          <w:rFonts w:asciiTheme="minorHAnsi" w:hAnsiTheme="minorHAnsi" w:cstheme="minorHAnsi"/>
          <w:b/>
        </w:rPr>
        <w:t xml:space="preserve"> BİLİMLERİ DERSİ GÜNLÜK DERS PLÂNI</w:t>
      </w:r>
    </w:p>
    <w:p w14:paraId="3A06CD5E" w14:textId="4D9CBA02" w:rsidR="00A63678" w:rsidRPr="006735BD" w:rsidRDefault="00A63678" w:rsidP="006735BD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6735BD">
        <w:rPr>
          <w:rFonts w:asciiTheme="minorHAnsi" w:hAnsiTheme="minorHAnsi" w:cstheme="minorHAnsi"/>
          <w:b/>
          <w:sz w:val="18"/>
          <w:szCs w:val="18"/>
        </w:rPr>
        <w:t>I.BÖLÜM</w:t>
      </w:r>
      <w:r w:rsidR="009C6E8A" w:rsidRPr="006735B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04537F" w:rsidRPr="006735BD">
        <w:rPr>
          <w:rFonts w:asciiTheme="minorHAnsi" w:hAnsiTheme="minorHAnsi" w:cstheme="minorHAnsi"/>
          <w:b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735BD" w:rsidRPr="006735BD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6735BD" w:rsidRDefault="00685E37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6735BD" w:rsidRDefault="00395E5C" w:rsidP="006735BD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6C749672" w:rsidR="00685E37" w:rsidRPr="006735BD" w:rsidRDefault="0004537F" w:rsidP="006735BD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384E72"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17-23 Kasım 2025</w:t>
            </w:r>
          </w:p>
        </w:tc>
      </w:tr>
      <w:tr w:rsidR="006735BD" w:rsidRPr="006735BD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6735BD" w:rsidRDefault="0004537F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6735BD" w:rsidRDefault="00E2550A" w:rsidP="006735BD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>6</w:t>
            </w:r>
            <w:r w:rsidR="0004537F"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5AA913B9" w:rsidR="0004537F" w:rsidRPr="006735BD" w:rsidRDefault="0004537F" w:rsidP="006735BD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Süre: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240D06"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>2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saat</w:t>
            </w:r>
          </w:p>
        </w:tc>
      </w:tr>
      <w:tr w:rsidR="006735BD" w:rsidRPr="006735BD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6735BD" w:rsidRDefault="002006FE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1651F327" w:rsidR="002006FE" w:rsidRPr="006735BD" w:rsidRDefault="00384E72" w:rsidP="006735BD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CANLILARDA SİSTEMLER</w:t>
            </w:r>
          </w:p>
        </w:tc>
      </w:tr>
      <w:tr w:rsidR="006735BD" w:rsidRPr="006735BD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6735BD" w:rsidRDefault="00F1617F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7AE5E778" w:rsidR="00F1617F" w:rsidRPr="006735BD" w:rsidRDefault="00384E72" w:rsidP="006735BD">
            <w:pPr>
              <w:spacing w:after="0"/>
              <w:ind w:right="113"/>
              <w:rPr>
                <w:rFonts w:cs="Calibri"/>
                <w:sz w:val="18"/>
                <w:szCs w:val="18"/>
              </w:rPr>
            </w:pPr>
            <w:r w:rsidRPr="006735BD">
              <w:rPr>
                <w:rFonts w:cs="Calibri"/>
                <w:sz w:val="18"/>
                <w:szCs w:val="18"/>
              </w:rPr>
              <w:t>Denetleyici ve Düzenleyici Sistemler</w:t>
            </w:r>
          </w:p>
        </w:tc>
      </w:tr>
      <w:tr w:rsidR="006735BD" w:rsidRPr="006735BD" w14:paraId="022AB9F2" w14:textId="77777777" w:rsidTr="006735BD">
        <w:trPr>
          <w:trHeight w:val="1418"/>
          <w:jc w:val="center"/>
        </w:trPr>
        <w:tc>
          <w:tcPr>
            <w:tcW w:w="2898" w:type="dxa"/>
          </w:tcPr>
          <w:p w14:paraId="20735657" w14:textId="77777777" w:rsidR="00F1617F" w:rsidRPr="006735BD" w:rsidRDefault="00F1617F" w:rsidP="006735BD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F1617F" w:rsidRPr="006735BD" w:rsidRDefault="007B6603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</w:tcPr>
          <w:p w14:paraId="240DFFF1" w14:textId="47F09562" w:rsidR="00F1617F" w:rsidRPr="006735BD" w:rsidRDefault="002B52F4" w:rsidP="006735BD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6735BD">
              <w:rPr>
                <w:rFonts w:cs="Calibri"/>
                <w:b/>
                <w:bCs/>
                <w:sz w:val="18"/>
                <w:szCs w:val="18"/>
              </w:rPr>
              <w:t xml:space="preserve">FB.6.3.2.2. İç salgı bezlerinin vücut için önemini </w:t>
            </w:r>
            <w:hyperlink r:id="rId7" w:history="1">
              <w:r w:rsidRPr="006735BD">
                <w:rPr>
                  <w:rStyle w:val="Kpr"/>
                  <w:rFonts w:cs="Calibri"/>
                  <w:b/>
                  <w:bCs/>
                  <w:color w:val="auto"/>
                  <w:sz w:val="18"/>
                  <w:szCs w:val="18"/>
                  <w:u w:val="none"/>
                </w:rPr>
                <w:t>yapılandırabilme</w:t>
              </w:r>
            </w:hyperlink>
          </w:p>
          <w:p w14:paraId="5EE92408" w14:textId="77777777" w:rsidR="002B52F4" w:rsidRPr="006735BD" w:rsidRDefault="002B52F4" w:rsidP="006735BD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6735BD">
              <w:rPr>
                <w:rFonts w:cs="Calibri"/>
                <w:b/>
                <w:bCs/>
                <w:sz w:val="18"/>
                <w:szCs w:val="18"/>
              </w:rPr>
              <w:t>Süreç Bileşenleri:</w:t>
            </w:r>
          </w:p>
          <w:p w14:paraId="1D41897B" w14:textId="77777777" w:rsidR="004A0F7B" w:rsidRPr="006735BD" w:rsidRDefault="004A0F7B" w:rsidP="006735BD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6735BD">
              <w:rPr>
                <w:rFonts w:cs="Calibri"/>
                <w:b/>
                <w:bCs/>
                <w:sz w:val="18"/>
                <w:szCs w:val="18"/>
              </w:rPr>
              <w:t>FB.6.3.2.2.</w:t>
            </w:r>
          </w:p>
          <w:p w14:paraId="76440667" w14:textId="77777777" w:rsidR="004A0F7B" w:rsidRPr="006735BD" w:rsidRDefault="004A0F7B" w:rsidP="006735BD">
            <w:pPr>
              <w:spacing w:after="0"/>
              <w:rPr>
                <w:rFonts w:cs="Calibri"/>
                <w:sz w:val="18"/>
                <w:szCs w:val="18"/>
              </w:rPr>
            </w:pPr>
            <w:r w:rsidRPr="006735BD">
              <w:rPr>
                <w:rFonts w:cs="Calibri"/>
                <w:sz w:val="18"/>
                <w:szCs w:val="18"/>
              </w:rPr>
              <w:t xml:space="preserve">a) İç salgı bezlerini inceleyerek mantıksal ilişkiler ortaya koyar. </w:t>
            </w:r>
          </w:p>
          <w:p w14:paraId="6FA0AD71" w14:textId="2AB68BA4" w:rsidR="002B52F4" w:rsidRPr="006735BD" w:rsidRDefault="004A0F7B" w:rsidP="006735BD">
            <w:pPr>
              <w:spacing w:after="0"/>
              <w:rPr>
                <w:rFonts w:cs="Calibri"/>
                <w:sz w:val="18"/>
                <w:szCs w:val="18"/>
              </w:rPr>
            </w:pPr>
            <w:r w:rsidRPr="006735BD">
              <w:rPr>
                <w:rFonts w:cs="Calibri"/>
                <w:sz w:val="18"/>
                <w:szCs w:val="18"/>
              </w:rPr>
              <w:t>b) İç salgı bezlerinin vücut için önemini uyumlu bir bütün olarak açıklar.</w:t>
            </w:r>
          </w:p>
        </w:tc>
      </w:tr>
    </w:tbl>
    <w:p w14:paraId="2E21F028" w14:textId="2A7B45B9" w:rsidR="00FB6068" w:rsidRPr="006735BD" w:rsidRDefault="00FB6068" w:rsidP="006735BD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6735BD">
        <w:rPr>
          <w:rFonts w:asciiTheme="minorHAnsi" w:hAnsiTheme="minorHAnsi" w:cstheme="minorHAnsi"/>
          <w:b/>
          <w:sz w:val="18"/>
          <w:szCs w:val="18"/>
        </w:rPr>
        <w:t xml:space="preserve">II. </w:t>
      </w:r>
      <w:r w:rsidR="009C6E8A" w:rsidRPr="006735BD">
        <w:rPr>
          <w:rFonts w:asciiTheme="minorHAnsi" w:hAnsiTheme="minorHAnsi" w:cstheme="minorHAnsi"/>
          <w:b/>
          <w:sz w:val="18"/>
          <w:szCs w:val="18"/>
        </w:rPr>
        <w:t>BÖLÜM:</w:t>
      </w:r>
      <w:r w:rsidRPr="006735BD">
        <w:rPr>
          <w:rFonts w:asciiTheme="minorHAnsi" w:hAnsiTheme="minorHAnsi" w:cstheme="minorHAnsi"/>
          <w:b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6735BD" w:rsidRPr="006735BD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6735BD" w:rsidRDefault="00314CAA" w:rsidP="006735BD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6735BD" w:rsidRDefault="00314CAA" w:rsidP="006735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6735BD" w:rsidRPr="006735BD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6735BD" w:rsidRDefault="008C3A36" w:rsidP="006735BD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6735BD" w:rsidRDefault="008C3A36" w:rsidP="006735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6735BD">
              <w:rPr>
                <w:rFonts w:asciiTheme="minorHAnsi" w:hAnsiTheme="minorHAnsi" w:cstheme="minorHAnsi"/>
                <w:sz w:val="18"/>
                <w:szCs w:val="18"/>
              </w:rPr>
              <w:t>Vatanseverlik, D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20. Yardımseverlik</w:t>
            </w:r>
          </w:p>
        </w:tc>
      </w:tr>
      <w:tr w:rsidR="006735BD" w:rsidRPr="006735BD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6735BD" w:rsidRDefault="008C3A36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6735BD" w:rsidRDefault="0090610D" w:rsidP="006735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6735BD" w:rsidRDefault="00FB6068" w:rsidP="006735BD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6735BD">
        <w:rPr>
          <w:rFonts w:asciiTheme="minorHAnsi" w:hAnsiTheme="minorHAnsi" w:cstheme="minorHAnsi"/>
          <w:b/>
          <w:sz w:val="18"/>
          <w:szCs w:val="18"/>
        </w:rPr>
        <w:t>I</w:t>
      </w:r>
      <w:r w:rsidR="00A63678" w:rsidRPr="006735BD">
        <w:rPr>
          <w:rFonts w:asciiTheme="minorHAnsi" w:hAnsiTheme="minorHAnsi" w:cstheme="minorHAnsi"/>
          <w:b/>
          <w:sz w:val="18"/>
          <w:szCs w:val="18"/>
        </w:rPr>
        <w:t>II.BÖLÜM</w:t>
      </w:r>
      <w:r w:rsidR="002923CA" w:rsidRPr="006735B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6735BD">
        <w:rPr>
          <w:rFonts w:asciiTheme="minorHAnsi" w:hAnsiTheme="minorHAnsi" w:cstheme="minorHAnsi"/>
          <w:b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6735BD" w:rsidRPr="006735BD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6735BD" w:rsidRDefault="00984A92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6735BD" w:rsidRDefault="00984A92" w:rsidP="006735BD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6735BD" w:rsidRDefault="00984A92" w:rsidP="006735BD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6735BD" w:rsidRDefault="00984A92" w:rsidP="006735BD">
            <w:pPr>
              <w:spacing w:after="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6735BD" w:rsidRPr="006735BD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6735BD" w:rsidRDefault="00984A92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6735BD" w:rsidRDefault="00984A92" w:rsidP="006735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6735BD" w:rsidRDefault="00984A92" w:rsidP="006735BD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6735BD" w:rsidRDefault="00984A92" w:rsidP="006735BD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6735BD" w:rsidRDefault="00984A92" w:rsidP="006735BD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6735BD" w:rsidRDefault="00984A92" w:rsidP="006735BD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6735BD" w:rsidRDefault="00984A92" w:rsidP="006735BD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2EC644E" w14:textId="77777777" w:rsidR="00984A92" w:rsidRPr="006735BD" w:rsidRDefault="00984A92" w:rsidP="006735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6735BD" w:rsidRDefault="00984A92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442916CE" w14:textId="77777777" w:rsidR="0079277A" w:rsidRPr="006735BD" w:rsidRDefault="0079277A" w:rsidP="006735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• Öğretmen derse günlük yaşam bağlamıyla giriş yapabilir: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“Korktuğumuzda kalbimiz neden hızla çarpıyor olabilir? Çok acıktığımızda neden elimiz titreyebilir? Boyumuzun uzamasını ne kontrol ediyor olabilir?”</w:t>
            </w:r>
          </w:p>
          <w:p w14:paraId="4ACFA3BE" w14:textId="708DE2DE" w:rsidR="00187745" w:rsidRPr="006735BD" w:rsidRDefault="0079277A" w:rsidP="006735BD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• Öğrencilerden bu sorularla ilgili tahminlerini söylemeleri istenebilir.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MEB kitabındaki </w:t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İç salgı bezleri karikatürü (s.114)</w:t>
            </w:r>
            <w:r w:rsidR="00187745"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sınıfa yansıtılabilir.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>Öğrencilerden karikatürdeki konuşmalardan hareketle merak ettikleri soruları yazmaları istenebilir.</w:t>
            </w:r>
          </w:p>
          <w:p w14:paraId="51808733" w14:textId="3F256731" w:rsidR="00187745" w:rsidRPr="006735BD" w:rsidRDefault="00187745" w:rsidP="006735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 xml:space="preserve">• İç salgı bezleri ile ilgili </w:t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kavram karikatürü, kavram haritası veya ilişkilendirme kartları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 xml:space="preserve"> gösterilebilir.</w:t>
            </w:r>
          </w:p>
          <w:p w14:paraId="0731C1A1" w14:textId="77777777" w:rsidR="0079277A" w:rsidRPr="006735BD" w:rsidRDefault="0079277A" w:rsidP="006735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• Öğretmen kavramın soyutluğunu azaltmak için hormonların “kanla taşınan özel mesajlar” olduğunu açıklayabilir ve kısa bir hormon animasyonu izletebilir.</w:t>
            </w:r>
          </w:p>
          <w:p w14:paraId="1ADDDFBC" w14:textId="77777777" w:rsidR="0079277A" w:rsidRPr="006735BD" w:rsidRDefault="0079277A" w:rsidP="006735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• Öğrencilerden kavram haritasına şu kavramları yerleştirmeleri istenebilir: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Hipofiz – Tiroit – Pankreas – Böbrek Üstü Bezi – Eşeysel Bezler – Hormonlar – Görevler</w:t>
            </w:r>
          </w:p>
          <w:p w14:paraId="78681049" w14:textId="57BB0B15" w:rsidR="00984A92" w:rsidRPr="006735BD" w:rsidRDefault="0079277A" w:rsidP="006735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Bu aşamada öğrencinin dikkatini çekme, ön bilgisini yoklama ve somutlaştırma süreçleri tamamlanır.</w:t>
            </w:r>
          </w:p>
        </w:tc>
      </w:tr>
      <w:tr w:rsidR="006735BD" w:rsidRPr="006735BD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6735BD" w:rsidRDefault="00984A92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6735BD" w:rsidRDefault="00984A92" w:rsidP="006735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6735BD" w:rsidRDefault="00984A92" w:rsidP="006735BD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6735BD" w:rsidRDefault="00984A92" w:rsidP="006735BD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6735BD" w:rsidRDefault="00984A92" w:rsidP="006735BD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6735BD" w:rsidRDefault="00984A92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4326B1CE" w14:textId="715D569B" w:rsidR="00CE275B" w:rsidRPr="006735BD" w:rsidRDefault="00CE275B" w:rsidP="006735B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 xml:space="preserve">Öğrencilere iç salgı bezleri </w:t>
            </w:r>
            <w:r w:rsidRPr="006735B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modeli, posteri veya dijital organ şeması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verilebilir.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(MEB kitabındaki iç salgı bezleri tablosu s.115 kullanılabilir.)</w:t>
            </w:r>
          </w:p>
          <w:p w14:paraId="3E800F57" w14:textId="77777777" w:rsidR="00CE275B" w:rsidRPr="006735BD" w:rsidRDefault="00CE275B" w:rsidP="006735B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Öğrencilerden hormon–bez–görev ilişkisini tablo üzerinden incelemeleri istenebilir: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Hipofiz → büyüme hormonu → büyümeyi sağlar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Tiroit → tiroksin → metabolizmayı hızlandırabilir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Böbrek üstü bezi → adrenalin → stres durumlarında kalp atışını artırabilir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Pankreas → insülin &amp; glukagon → kan şekerini düzenleyebilir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Eşeysel bezler → testosteron &amp; östrojen → ergenlik özelliklerini başlatabilir</w:t>
            </w:r>
          </w:p>
          <w:p w14:paraId="51D95ED6" w14:textId="77777777" w:rsidR="00CE275B" w:rsidRPr="006735BD" w:rsidRDefault="00CE275B" w:rsidP="006735B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Öğretmen öğrencilerin mantıksal ilişkiler kurmalarını sağlayacak sorular yöneltebilir: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“Tiroit bezi çalışmazsa büyüme ve enerji düzeyi nasıl etkilenebilir?”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“İnsülin salgısı yetersizse hangi hastalık ortaya çıkabilir?”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“Adrenalin artınca vücudumuzda hangi değişiklikler olabilir?”</w:t>
            </w:r>
          </w:p>
          <w:p w14:paraId="444E1289" w14:textId="4E24BF67" w:rsidR="00CE275B" w:rsidRPr="006735BD" w:rsidRDefault="00CE275B" w:rsidP="006735B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 xml:space="preserve">• MEB kitabındaki </w:t>
            </w:r>
            <w:r w:rsidRPr="006735B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 21 (s.116</w:t>
            </w:r>
            <w:r w:rsidR="00F2140D" w:rsidRPr="006735B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) uygulanabilir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>.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Öğrencilerden her bezi “çalışmama durumu” altında inceleyerek sonuçları yazmaları istenebilir.</w:t>
            </w:r>
          </w:p>
          <w:p w14:paraId="0229F91A" w14:textId="77777777" w:rsidR="00CE275B" w:rsidRPr="006735BD" w:rsidRDefault="00CE275B" w:rsidP="006735B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>• Bu aşamada analoji yöntemi kullanılabilir: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 xml:space="preserve">Örneğin, </w:t>
            </w:r>
            <w:r w:rsidRPr="006735B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hipofiz bezi = şirket müdürü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, </w:t>
            </w:r>
            <w:r w:rsidRPr="006735B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diğer bezler = departman yöneticileri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gibi benzetmeler yapabilirler.</w:t>
            </w:r>
          </w:p>
          <w:p w14:paraId="62081A8F" w14:textId="5C653B8B" w:rsidR="006D72BE" w:rsidRPr="006735BD" w:rsidRDefault="006D72BE" w:rsidP="006735B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Öğrenciler iç salgı bezlerinin birlikte nasıl bir </w:t>
            </w:r>
            <w:r w:rsidRPr="006735B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uyumlu bütün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oluşturduğunu kavramak için şu etkinlik yapılabilir: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Öğretmen benzetme yöntemini kullanır: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</w:r>
            <w:r w:rsidRPr="006735B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“Aile bireyleri evde farklı görevler yapar ama birlikte evin düzenini sağlar.”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Ardından öğrenciler: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“Hangi iç salgı bezi hangi aile bireyine benzetilebilir?”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“Bu benzetişte görevler nasıl paralellik gösterebilir?”</w:t>
            </w: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sorularını tartışabilir.</w:t>
            </w:r>
          </w:p>
          <w:p w14:paraId="24C7B325" w14:textId="0AA3D8C0" w:rsidR="00AE550F" w:rsidRPr="006735BD" w:rsidRDefault="00CE275B" w:rsidP="006735B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sz w:val="18"/>
                <w:szCs w:val="18"/>
              </w:rPr>
              <w:t>Bu aşamada öğrenciler iç salgı bezlerini inceleyebilir, nedensel ilişkiler kurabilir ve hormonların görevlerini gözlemleyerek öğrenebilir.</w:t>
            </w:r>
          </w:p>
        </w:tc>
      </w:tr>
      <w:tr w:rsidR="006735BD" w:rsidRPr="006735BD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6735BD" w:rsidRDefault="00984A92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İş birliği</w:t>
            </w:r>
          </w:p>
          <w:p w14:paraId="57A12D4C" w14:textId="4505F447" w:rsidR="00984A92" w:rsidRPr="006735BD" w:rsidRDefault="00984A92" w:rsidP="006735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6735BD" w:rsidRDefault="00984A92" w:rsidP="006735BD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6735BD" w:rsidRDefault="00984A92" w:rsidP="006735BD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6735BD" w:rsidRDefault="00984A92" w:rsidP="006735BD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6735BD" w:rsidRDefault="00984A92" w:rsidP="006735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6735BD" w:rsidRDefault="00984A92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0E75A40E" w14:textId="05EA66CB" w:rsidR="00CE275B" w:rsidRPr="006735BD" w:rsidRDefault="00CE275B" w:rsidP="006735BD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Öğrenciler 3–4 kişilik gruplara ayrılabilir.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MEB kitabındaki </w:t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Etkinlik İstasyonu 22 (s.117)</w:t>
            </w:r>
            <w:r w:rsidR="006D72BE"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uygulanır.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>Öğrenciler aile bireyleri ile iç salgı bezleri arasında benzetme kurabilirler.</w:t>
            </w:r>
          </w:p>
          <w:p w14:paraId="52236967" w14:textId="77777777" w:rsidR="00CE275B" w:rsidRPr="006735BD" w:rsidRDefault="00CE275B" w:rsidP="006735BD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Örneğin: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Böbrek üstü bezi = aileyi tehlikede koruyan baba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Pankreas = evin şeker dengesini sağlayan mutfak sorumlusu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Hipofiz = ailenin düzenini yöneten anne/baba</w:t>
            </w:r>
          </w:p>
          <w:p w14:paraId="338F76BA" w14:textId="77777777" w:rsidR="00CE275B" w:rsidRPr="006735BD" w:rsidRDefault="00CE275B" w:rsidP="006735BD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• Gruplar benzetişlerini sınıfa sunabilir, hangi benzetmenin daha yerinde olduğu üzerine tartışabilirler.</w:t>
            </w:r>
          </w:p>
          <w:p w14:paraId="21CA7D09" w14:textId="77777777" w:rsidR="00CE275B" w:rsidRPr="006735BD" w:rsidRDefault="00CE275B" w:rsidP="006735BD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• Öğrenciler disiplinler arası çalışmalar yapabilir: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Görsel Sanatlar: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 xml:space="preserve"> Hormonların vücuttaki etkilerini açıklayan poster çizilebilir.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Türkçe: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 xml:space="preserve"> “Vücut şehri ve hormon habercileri” adlı kısa hikâye yazılabilir.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Bilişim: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 xml:space="preserve"> Dijital kavram haritası hazırlanabilir.</w:t>
            </w:r>
          </w:p>
          <w:p w14:paraId="2F3CDC6C" w14:textId="0ACCB0E8" w:rsidR="009A36B8" w:rsidRPr="006735BD" w:rsidRDefault="00CE275B" w:rsidP="006735BD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Bu aşamada öğrenciler paylaşımda bulunur, düşüncelerini ifade edebilir ve konuyu farklı disiplinlerle ilişkilendirebilir.</w:t>
            </w:r>
          </w:p>
        </w:tc>
      </w:tr>
      <w:tr w:rsidR="006735BD" w:rsidRPr="006735BD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6735BD" w:rsidRDefault="00984A92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6735BD" w:rsidRDefault="00984A92" w:rsidP="006735BD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6735BD" w:rsidRDefault="00984A92" w:rsidP="006735BD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6735BD" w:rsidRDefault="00984A92" w:rsidP="006735BD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6735BD" w:rsidRDefault="00984A92" w:rsidP="006735BD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505748C0" w14:textId="77777777" w:rsidR="00CE275B" w:rsidRPr="006735BD" w:rsidRDefault="00CE275B" w:rsidP="006735BD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• Öğrencilere yeni durum içeren sorular sorulabilir: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“Adrenalin hiç salgılanmasaydı stres anında vücudumuz nasıl tepki verebilirdi?”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“İnsülin ve glukagon arasında uyum bozulursa ne olabilir?”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“Hipofiz bezinin çalışmaması diğer bezleri nasıl etkileyebilir?”</w:t>
            </w:r>
          </w:p>
          <w:p w14:paraId="131DC3DC" w14:textId="77777777" w:rsidR="00F2140D" w:rsidRPr="006735BD" w:rsidRDefault="00CE275B" w:rsidP="006735BD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• Öğrencilere kısa çalışma kâğıdı verilebilir: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>– Hormon–bez–görev eşleştirme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>– Eksik bırakılmış kavram haritasını tamamlama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="005B76DD" w:rsidRPr="006735BD">
              <w:rPr>
                <w:rFonts w:asciiTheme="minorHAnsi" w:hAnsiTheme="minorHAnsi" w:cstheme="minorHAnsi"/>
                <w:sz w:val="18"/>
                <w:szCs w:val="18"/>
              </w:rPr>
              <w:t>Açık uçlu sorularla öğrencilerin iç salgı bezlerini bir bütün olarak kavramaları sağlanabilir:</w:t>
            </w:r>
            <w:r w:rsidR="005B76DD"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 “İç salgı bezleri bir orkestranın üyeleri olsaydı görev dağılımı nasıl yapılabilirdi?”</w:t>
            </w:r>
          </w:p>
          <w:p w14:paraId="5CEDDBFB" w14:textId="7CB6FD3B" w:rsidR="00CE275B" w:rsidRPr="006735BD" w:rsidRDefault="00CE275B" w:rsidP="006735BD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 xml:space="preserve">• MEB kitabındaki </w:t>
            </w:r>
            <w:r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Pekiştirme İstasyonu 7 (s.118)</w:t>
            </w:r>
            <w:r w:rsidR="002B31FE" w:rsidRPr="006735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bu aşama için uygundur.</w:t>
            </w:r>
          </w:p>
          <w:p w14:paraId="2C1D1A68" w14:textId="77777777" w:rsidR="00CE275B" w:rsidRPr="006735BD" w:rsidRDefault="00CE275B" w:rsidP="006735BD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• Öğrenciler öğrendiklerini günlük yaşamla ilişkilendirebilir: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>– “Stres anında kalbimin neden hızlandığını hormonlarla açıklayabilirim.”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>– “Diyabetin pankreas hormonu ile ilişkisini açıklayabilirim.”</w:t>
            </w:r>
          </w:p>
          <w:p w14:paraId="738AC2AC" w14:textId="77777777" w:rsidR="00CE275B" w:rsidRPr="006735BD" w:rsidRDefault="00CE275B" w:rsidP="006735BD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• Dönem sonu performans görevi olarak öğrencilerden: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>– İç salgı bezleri poster tasarımı,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proofErr w:type="spellStart"/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Analojili</w:t>
            </w:r>
            <w:proofErr w:type="spellEnd"/>
            <w:r w:rsidRPr="006735BD">
              <w:rPr>
                <w:rFonts w:asciiTheme="minorHAnsi" w:hAnsiTheme="minorHAnsi" w:cstheme="minorHAnsi"/>
                <w:sz w:val="18"/>
                <w:szCs w:val="18"/>
              </w:rPr>
              <w:t xml:space="preserve"> sunum,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>– Mini kitapçık</w:t>
            </w:r>
            <w:r w:rsidRPr="006735BD">
              <w:rPr>
                <w:rFonts w:asciiTheme="minorHAnsi" w:hAnsiTheme="minorHAnsi" w:cstheme="minorHAnsi"/>
                <w:sz w:val="18"/>
                <w:szCs w:val="18"/>
              </w:rPr>
              <w:br/>
              <w:t>hazırlamaları istenebilir.</w:t>
            </w:r>
          </w:p>
          <w:p w14:paraId="32FED261" w14:textId="766F147B" w:rsidR="00A401FA" w:rsidRPr="006735BD" w:rsidRDefault="00CE275B" w:rsidP="006735BD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735BD">
              <w:rPr>
                <w:rFonts w:asciiTheme="minorHAnsi" w:hAnsiTheme="minorHAnsi" w:cstheme="minorHAnsi"/>
                <w:sz w:val="18"/>
                <w:szCs w:val="18"/>
              </w:rPr>
              <w:t>Bu aşamada öğrenciler, iç salgı bezlerinin uyumlu bir bütün hâlinde çalıştığını fark ederek bilgiyi farklı senaryolara transfer edebilir.</w:t>
            </w:r>
          </w:p>
        </w:tc>
      </w:tr>
    </w:tbl>
    <w:p w14:paraId="769EA9E3" w14:textId="100B5FD8" w:rsidR="00A63678" w:rsidRPr="006735BD" w:rsidRDefault="009C6E8A" w:rsidP="006735BD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6735BD">
        <w:rPr>
          <w:rFonts w:asciiTheme="minorHAnsi" w:hAnsiTheme="minorHAnsi" w:cstheme="minorHAnsi"/>
          <w:b/>
          <w:sz w:val="18"/>
          <w:szCs w:val="18"/>
        </w:rPr>
        <w:t xml:space="preserve">IV.BÖLÜM: </w:t>
      </w:r>
      <w:r w:rsidRPr="006735BD">
        <w:rPr>
          <w:rFonts w:asciiTheme="minorHAnsi" w:eastAsiaTheme="minorEastAsia" w:hAnsiTheme="minorHAnsi" w:cstheme="minorHAnsi"/>
          <w:b/>
          <w:sz w:val="18"/>
          <w:szCs w:val="18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6735BD" w:rsidRPr="006735BD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65B4EE73" w14:textId="77777777" w:rsidR="000F22E5" w:rsidRPr="006735BD" w:rsidRDefault="000F22E5" w:rsidP="006735BD">
            <w:pPr>
              <w:spacing w:after="0"/>
              <w:rPr>
                <w:rFonts w:cs="Calibri"/>
                <w:sz w:val="18"/>
                <w:szCs w:val="18"/>
              </w:rPr>
            </w:pPr>
            <w:r w:rsidRPr="006735BD">
              <w:rPr>
                <w:rFonts w:cs="Calibri"/>
                <w:sz w:val="18"/>
                <w:szCs w:val="18"/>
              </w:rPr>
              <w:lastRenderedPageBreak/>
              <w:t xml:space="preserve">-  Bilgi düzeyi </w:t>
            </w:r>
            <w:r w:rsidRPr="006735BD">
              <w:rPr>
                <w:rFonts w:cs="Calibri"/>
                <w:b/>
                <w:bCs/>
                <w:sz w:val="18"/>
                <w:szCs w:val="18"/>
              </w:rPr>
              <w:t>doğru–yanlış, eşleştirme, açık uçlu sorular</w:t>
            </w:r>
            <w:r w:rsidRPr="006735BD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692CAED5" w14:textId="77777777" w:rsidR="000F22E5" w:rsidRPr="006735BD" w:rsidRDefault="000F22E5" w:rsidP="006735BD">
            <w:pPr>
              <w:spacing w:after="0"/>
              <w:rPr>
                <w:rFonts w:cs="Calibri"/>
                <w:sz w:val="18"/>
                <w:szCs w:val="18"/>
              </w:rPr>
            </w:pPr>
            <w:r w:rsidRPr="006735BD">
              <w:rPr>
                <w:rFonts w:cs="Calibri"/>
                <w:sz w:val="18"/>
                <w:szCs w:val="18"/>
              </w:rPr>
              <w:t xml:space="preserve">-  </w:t>
            </w:r>
            <w:r w:rsidRPr="006735BD">
              <w:rPr>
                <w:rFonts w:cs="Calibri"/>
                <w:b/>
                <w:bCs/>
                <w:sz w:val="18"/>
                <w:szCs w:val="18"/>
              </w:rPr>
              <w:t>Sinir sistemi modeli/şeması</w:t>
            </w:r>
            <w:r w:rsidRPr="006735BD">
              <w:rPr>
                <w:rFonts w:cs="Calibri"/>
                <w:sz w:val="18"/>
                <w:szCs w:val="18"/>
              </w:rPr>
              <w:t xml:space="preserve"> üzerinde inceleme yapılır.</w:t>
            </w:r>
          </w:p>
          <w:p w14:paraId="723C0149" w14:textId="77777777" w:rsidR="000F22E5" w:rsidRPr="006735BD" w:rsidRDefault="000F22E5" w:rsidP="006735BD">
            <w:pPr>
              <w:spacing w:after="0"/>
              <w:rPr>
                <w:rFonts w:cs="Calibri"/>
                <w:sz w:val="18"/>
                <w:szCs w:val="18"/>
              </w:rPr>
            </w:pPr>
            <w:r w:rsidRPr="006735BD">
              <w:rPr>
                <w:rFonts w:cs="Calibri"/>
                <w:sz w:val="18"/>
                <w:szCs w:val="18"/>
              </w:rPr>
              <w:t xml:space="preserve">-  </w:t>
            </w:r>
            <w:r w:rsidRPr="006735BD">
              <w:rPr>
                <w:rFonts w:cs="Calibri"/>
                <w:b/>
                <w:bCs/>
                <w:sz w:val="18"/>
                <w:szCs w:val="18"/>
              </w:rPr>
              <w:t>Gözlem formları ve raporlar</w:t>
            </w:r>
            <w:r w:rsidRPr="006735BD">
              <w:rPr>
                <w:rFonts w:cs="Calibri"/>
                <w:sz w:val="18"/>
                <w:szCs w:val="18"/>
              </w:rPr>
              <w:t xml:space="preserve"> ile görev açıklamaları değerlendirilir.</w:t>
            </w:r>
          </w:p>
          <w:p w14:paraId="030A3A8B" w14:textId="77777777" w:rsidR="000F22E5" w:rsidRPr="006735BD" w:rsidRDefault="000F22E5" w:rsidP="006735BD">
            <w:pPr>
              <w:spacing w:after="0"/>
              <w:rPr>
                <w:rFonts w:cs="Calibri"/>
                <w:sz w:val="18"/>
                <w:szCs w:val="18"/>
              </w:rPr>
            </w:pPr>
            <w:r w:rsidRPr="006735BD">
              <w:rPr>
                <w:rFonts w:cs="Calibri"/>
                <w:sz w:val="18"/>
                <w:szCs w:val="18"/>
              </w:rPr>
              <w:t xml:space="preserve">-  </w:t>
            </w:r>
            <w:r w:rsidRPr="006735BD">
              <w:rPr>
                <w:rFonts w:cs="Calibri"/>
                <w:b/>
                <w:bCs/>
                <w:sz w:val="18"/>
                <w:szCs w:val="18"/>
              </w:rPr>
              <w:t>Dijital içerikler (EBA, 3D modeller, simülasyonlar)</w:t>
            </w:r>
            <w:r w:rsidRPr="006735BD">
              <w:rPr>
                <w:rFonts w:cs="Calibri"/>
                <w:sz w:val="18"/>
                <w:szCs w:val="18"/>
              </w:rPr>
              <w:t xml:space="preserve"> ile öğrenme desteklenir.</w:t>
            </w:r>
          </w:p>
          <w:p w14:paraId="3A74A510" w14:textId="77777777" w:rsidR="000F22E5" w:rsidRPr="006735BD" w:rsidRDefault="000F22E5" w:rsidP="006735BD">
            <w:pPr>
              <w:spacing w:after="0"/>
              <w:rPr>
                <w:rFonts w:cs="Calibri"/>
                <w:sz w:val="18"/>
                <w:szCs w:val="18"/>
              </w:rPr>
            </w:pPr>
            <w:r w:rsidRPr="006735BD">
              <w:rPr>
                <w:rFonts w:cs="Calibri"/>
                <w:sz w:val="18"/>
                <w:szCs w:val="18"/>
              </w:rPr>
              <w:t xml:space="preserve">-  </w:t>
            </w:r>
            <w:r w:rsidRPr="006735BD">
              <w:rPr>
                <w:rFonts w:cs="Calibri"/>
                <w:b/>
                <w:bCs/>
                <w:sz w:val="18"/>
                <w:szCs w:val="18"/>
              </w:rPr>
              <w:t>Akran değerlendirmesi ve grup tartışmaları</w:t>
            </w:r>
            <w:r w:rsidRPr="006735BD">
              <w:rPr>
                <w:rFonts w:cs="Calibri"/>
                <w:sz w:val="18"/>
                <w:szCs w:val="18"/>
              </w:rPr>
              <w:t xml:space="preserve"> ile açıklamalar gözlemlenir.</w:t>
            </w:r>
          </w:p>
          <w:p w14:paraId="27ED23FE" w14:textId="77777777" w:rsidR="000F22E5" w:rsidRPr="006735BD" w:rsidRDefault="000F22E5" w:rsidP="006735BD">
            <w:pPr>
              <w:spacing w:after="0"/>
              <w:rPr>
                <w:rFonts w:cs="Calibri"/>
                <w:sz w:val="18"/>
                <w:szCs w:val="18"/>
              </w:rPr>
            </w:pPr>
            <w:r w:rsidRPr="006735BD">
              <w:rPr>
                <w:rFonts w:cs="Calibri"/>
                <w:sz w:val="18"/>
                <w:szCs w:val="18"/>
              </w:rPr>
              <w:t xml:space="preserve">-  </w:t>
            </w:r>
            <w:r w:rsidRPr="006735BD">
              <w:rPr>
                <w:rFonts w:cs="Calibri"/>
                <w:b/>
                <w:bCs/>
                <w:sz w:val="18"/>
                <w:szCs w:val="18"/>
              </w:rPr>
              <w:t>Poster, dijital sunum, model</w:t>
            </w:r>
            <w:r w:rsidRPr="006735BD">
              <w:rPr>
                <w:rFonts w:cs="Calibri"/>
                <w:sz w:val="18"/>
                <w:szCs w:val="18"/>
              </w:rPr>
              <w:t xml:space="preserve"> gibi performans görevleri değerlendirilir.</w:t>
            </w:r>
          </w:p>
          <w:p w14:paraId="4F8A9533" w14:textId="77777777" w:rsidR="000F22E5" w:rsidRPr="006735BD" w:rsidRDefault="000F22E5" w:rsidP="006735BD">
            <w:pPr>
              <w:spacing w:after="0"/>
              <w:rPr>
                <w:rFonts w:cs="Calibri"/>
                <w:sz w:val="18"/>
                <w:szCs w:val="18"/>
              </w:rPr>
            </w:pPr>
            <w:r w:rsidRPr="006735BD">
              <w:rPr>
                <w:rFonts w:cs="Calibri"/>
                <w:sz w:val="18"/>
                <w:szCs w:val="18"/>
              </w:rPr>
              <w:t xml:space="preserve">-  </w:t>
            </w:r>
            <w:r w:rsidRPr="006735BD">
              <w:rPr>
                <w:rFonts w:cs="Calibri"/>
                <w:b/>
                <w:bCs/>
                <w:sz w:val="18"/>
                <w:szCs w:val="18"/>
              </w:rPr>
              <w:t>Tablo/şema çalışmaları</w:t>
            </w:r>
            <w:r w:rsidRPr="006735BD">
              <w:rPr>
                <w:rFonts w:cs="Calibri"/>
                <w:sz w:val="18"/>
                <w:szCs w:val="18"/>
              </w:rPr>
              <w:t xml:space="preserve"> ile bezlerin görev ve ilişkileri ölçülür.</w:t>
            </w:r>
          </w:p>
          <w:p w14:paraId="128A9BC6" w14:textId="77777777" w:rsidR="000F22E5" w:rsidRPr="006735BD" w:rsidRDefault="000F22E5" w:rsidP="006735BD">
            <w:pPr>
              <w:spacing w:after="0"/>
              <w:rPr>
                <w:rFonts w:cs="Calibri"/>
                <w:sz w:val="18"/>
                <w:szCs w:val="18"/>
              </w:rPr>
            </w:pPr>
            <w:r w:rsidRPr="006735BD">
              <w:rPr>
                <w:rFonts w:cs="Calibri"/>
                <w:sz w:val="18"/>
                <w:szCs w:val="18"/>
              </w:rPr>
              <w:t xml:space="preserve">-  </w:t>
            </w:r>
            <w:r w:rsidRPr="006735BD">
              <w:rPr>
                <w:rFonts w:cs="Calibri"/>
                <w:b/>
                <w:bCs/>
                <w:sz w:val="18"/>
                <w:szCs w:val="18"/>
              </w:rPr>
              <w:t>Araştırma ödevi ve sunumlar</w:t>
            </w:r>
            <w:r w:rsidRPr="006735BD">
              <w:rPr>
                <w:rFonts w:cs="Calibri"/>
                <w:sz w:val="18"/>
                <w:szCs w:val="18"/>
              </w:rPr>
              <w:t xml:space="preserve"> ile ilişki kurma becerisi değerlendirilir.</w:t>
            </w:r>
          </w:p>
          <w:p w14:paraId="6A86B107" w14:textId="77777777" w:rsidR="000F22E5" w:rsidRPr="006735BD" w:rsidRDefault="000F22E5" w:rsidP="006735BD">
            <w:pPr>
              <w:spacing w:after="0"/>
              <w:rPr>
                <w:rFonts w:cs="Calibri"/>
                <w:sz w:val="18"/>
                <w:szCs w:val="18"/>
              </w:rPr>
            </w:pPr>
            <w:r w:rsidRPr="006735BD">
              <w:rPr>
                <w:rFonts w:cs="Calibri"/>
                <w:sz w:val="18"/>
                <w:szCs w:val="18"/>
              </w:rPr>
              <w:t xml:space="preserve">-  </w:t>
            </w:r>
            <w:r w:rsidRPr="006735BD">
              <w:rPr>
                <w:rFonts w:cs="Calibri"/>
                <w:b/>
                <w:bCs/>
                <w:sz w:val="18"/>
                <w:szCs w:val="18"/>
              </w:rPr>
              <w:t xml:space="preserve">Dijital içerikler (EBA videoları, </w:t>
            </w:r>
            <w:proofErr w:type="spellStart"/>
            <w:r w:rsidRPr="006735BD">
              <w:rPr>
                <w:rFonts w:cs="Calibri"/>
                <w:b/>
                <w:bCs/>
                <w:sz w:val="18"/>
                <w:szCs w:val="18"/>
              </w:rPr>
              <w:t>quizler</w:t>
            </w:r>
            <w:proofErr w:type="spellEnd"/>
            <w:r w:rsidRPr="006735BD">
              <w:rPr>
                <w:rFonts w:cs="Calibri"/>
                <w:b/>
                <w:bCs/>
                <w:sz w:val="18"/>
                <w:szCs w:val="18"/>
              </w:rPr>
              <w:t xml:space="preserve">, sanal </w:t>
            </w:r>
            <w:proofErr w:type="spellStart"/>
            <w:r w:rsidRPr="006735BD">
              <w:rPr>
                <w:rFonts w:cs="Calibri"/>
                <w:b/>
                <w:bCs/>
                <w:sz w:val="18"/>
                <w:szCs w:val="18"/>
              </w:rPr>
              <w:t>lab</w:t>
            </w:r>
            <w:proofErr w:type="spellEnd"/>
            <w:r w:rsidRPr="006735BD">
              <w:rPr>
                <w:rFonts w:cs="Calibri"/>
                <w:b/>
                <w:bCs/>
                <w:sz w:val="18"/>
                <w:szCs w:val="18"/>
              </w:rPr>
              <w:t>)</w:t>
            </w:r>
            <w:r w:rsidRPr="006735BD">
              <w:rPr>
                <w:rFonts w:cs="Calibri"/>
                <w:sz w:val="18"/>
                <w:szCs w:val="18"/>
              </w:rPr>
              <w:t xml:space="preserve"> ile pekiştirme yapılır.</w:t>
            </w:r>
          </w:p>
          <w:p w14:paraId="4F843563" w14:textId="3AEA54F7" w:rsidR="000F22E5" w:rsidRPr="006735BD" w:rsidRDefault="000F22E5" w:rsidP="006735BD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6735BD">
              <w:rPr>
                <w:rFonts w:cs="Calibri"/>
                <w:sz w:val="18"/>
                <w:szCs w:val="18"/>
              </w:rPr>
              <w:t xml:space="preserve">-  </w:t>
            </w:r>
            <w:r w:rsidRPr="006735BD">
              <w:rPr>
                <w:rFonts w:cs="Calibri"/>
                <w:b/>
                <w:bCs/>
                <w:sz w:val="18"/>
                <w:szCs w:val="18"/>
              </w:rPr>
              <w:t>Grup tartışmaları ve akran değerlendirmesi</w:t>
            </w:r>
            <w:r w:rsidRPr="006735BD">
              <w:rPr>
                <w:rFonts w:cs="Calibri"/>
                <w:sz w:val="18"/>
                <w:szCs w:val="18"/>
              </w:rPr>
              <w:t xml:space="preserve"> ile s</w:t>
            </w:r>
            <w:hyperlink r:id="rId8" w:history="1">
              <w:r w:rsidRPr="006735BD">
                <w:rPr>
                  <w:rStyle w:val="Kpr"/>
                  <w:rFonts w:cs="Calibri"/>
                  <w:color w:val="auto"/>
                  <w:sz w:val="18"/>
                  <w:szCs w:val="18"/>
                  <w:u w:val="none"/>
                </w:rPr>
                <w:t>üreç gözlemlenir.</w:t>
              </w:r>
            </w:hyperlink>
          </w:p>
        </w:tc>
      </w:tr>
    </w:tbl>
    <w:p w14:paraId="28225DFB" w14:textId="45152C72" w:rsidR="00A63678" w:rsidRPr="006735BD" w:rsidRDefault="00A63678" w:rsidP="006735BD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6735BD">
        <w:rPr>
          <w:rFonts w:asciiTheme="minorHAnsi" w:hAnsiTheme="minorHAnsi" w:cstheme="minorHAnsi"/>
          <w:b/>
          <w:sz w:val="18"/>
          <w:szCs w:val="18"/>
        </w:rPr>
        <w:t>IV.BÖLÜM</w:t>
      </w:r>
      <w:r w:rsidR="00922DCA" w:rsidRPr="006735B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922DCA" w:rsidRPr="006735BD">
        <w:rPr>
          <w:rFonts w:asciiTheme="minorHAnsi" w:eastAsiaTheme="minorEastAsia" w:hAnsiTheme="minorHAnsi" w:cstheme="minorHAnsi"/>
          <w:b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6735BD" w:rsidRPr="006735BD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1BC15227" w14:textId="77777777" w:rsidR="006735BD" w:rsidRPr="006735BD" w:rsidRDefault="006735BD" w:rsidP="006735BD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Türkçe dersiyle</w:t>
            </w:r>
            <w:r w:rsidRPr="006735B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öğrenciler hormonların vücuttaki etkilerini hikâye, benzetme ya da bilgilendirici metin şeklinde yazarak yazılı anlatım ve açıklama becerilerini geliştirir; grup sunumlarında konuşma–dinleme becerileri desteklenir.</w:t>
            </w:r>
          </w:p>
          <w:p w14:paraId="62795B90" w14:textId="77777777" w:rsidR="006735BD" w:rsidRPr="006735BD" w:rsidRDefault="006735BD" w:rsidP="006735BD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Görsel Sanatlar dersiyle</w:t>
            </w:r>
            <w:r w:rsidRPr="006735B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iç salgı bezlerini ve hormonların etkilerini gösteren poster, kavram haritası veya karikatür çizimleri hazırlanarak soyut kavramlar görselleştirilir.</w:t>
            </w:r>
          </w:p>
          <w:p w14:paraId="64BA8265" w14:textId="77777777" w:rsidR="006735BD" w:rsidRPr="006735BD" w:rsidRDefault="006735BD" w:rsidP="006735BD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Bilişim Teknolojileri dersiyle</w:t>
            </w:r>
            <w:r w:rsidRPr="006735B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, dijital kavram haritası oluşturma, hormon–bez ilişkisini gösteren dijital poster hazırlama ve </w:t>
            </w:r>
            <w:proofErr w:type="spellStart"/>
            <w:r w:rsidRPr="006735B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karekodlu</w:t>
            </w:r>
            <w:proofErr w:type="spellEnd"/>
            <w:r w:rsidRPr="006735B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 animasyonları inceleme gibi etkinliklerle teknoloji destekli öğrenme sağlanır.</w:t>
            </w:r>
          </w:p>
          <w:p w14:paraId="622949C9" w14:textId="2FEE3682" w:rsidR="006735BD" w:rsidRPr="006735BD" w:rsidRDefault="006735BD" w:rsidP="006735BD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Sosyal Bilgiler dersiyle</w:t>
            </w:r>
            <w:r w:rsidRPr="006735B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, stres, güvenlik, sağlıklı yaşam ve toplum sağlığı kavramları hormonların etkileri üzerinden ilişkilendirilerek günlük yaşam bağlantıları </w:t>
            </w:r>
            <w:hyperlink r:id="rId9" w:history="1">
              <w:r w:rsidRPr="006735BD">
                <w:rPr>
                  <w:rStyle w:val="Kpr"/>
                  <w:rFonts w:asciiTheme="minorHAnsi" w:eastAsiaTheme="minorEastAsia" w:hAnsiTheme="minorHAnsi" w:cstheme="minorHAnsi"/>
                  <w:bCs/>
                  <w:color w:val="auto"/>
                  <w:sz w:val="18"/>
                  <w:szCs w:val="18"/>
                  <w:u w:val="none"/>
                </w:rPr>
                <w:t>kurulur.</w:t>
              </w:r>
            </w:hyperlink>
          </w:p>
          <w:p w14:paraId="3AB485C3" w14:textId="18889DF4" w:rsidR="00922DCA" w:rsidRPr="006735BD" w:rsidRDefault="006735BD" w:rsidP="006735BD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Rehberlik dersiyle</w:t>
            </w:r>
            <w:r w:rsidRPr="006735BD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ergenlik dönemi, duygusal değişimler, stres yönetimi ve beden farkındalığı hormonların etkileriyle ilişkilendirilerek öğrencilerin sağlıklı tutum geliştirmesi desteklenir.</w:t>
            </w:r>
          </w:p>
        </w:tc>
      </w:tr>
    </w:tbl>
    <w:p w14:paraId="51BDF3BC" w14:textId="77777777" w:rsidR="00A63678" w:rsidRPr="006735BD" w:rsidRDefault="00A63678" w:rsidP="006735BD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6735BD">
        <w:rPr>
          <w:rFonts w:asciiTheme="minorHAnsi" w:hAnsiTheme="minorHAnsi" w:cstheme="minorHAnsi"/>
          <w:b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6735BD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6735BD" w:rsidRDefault="00A63678" w:rsidP="006735BD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6735B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6735BD" w:rsidRDefault="00A63678" w:rsidP="006735BD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</w:tr>
    </w:tbl>
    <w:p w14:paraId="28AA26FD" w14:textId="77777777" w:rsidR="00356A3E" w:rsidRPr="006735BD" w:rsidRDefault="00356A3E" w:rsidP="006735BD">
      <w:pPr>
        <w:spacing w:after="0"/>
        <w:ind w:left="7080" w:firstLine="708"/>
        <w:rPr>
          <w:rFonts w:asciiTheme="minorHAnsi" w:hAnsiTheme="minorHAnsi" w:cstheme="minorHAnsi"/>
          <w:b/>
          <w:sz w:val="18"/>
          <w:szCs w:val="18"/>
        </w:rPr>
      </w:pPr>
    </w:p>
    <w:p w14:paraId="616C1D64" w14:textId="04D6C9EB" w:rsidR="007327B8" w:rsidRPr="006735BD" w:rsidRDefault="007327B8" w:rsidP="006735BD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0AA9CA7E" w14:textId="77777777" w:rsidR="007327B8" w:rsidRPr="006735BD" w:rsidRDefault="007327B8" w:rsidP="006735BD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4810B0A" w14:textId="77777777" w:rsidR="007327B8" w:rsidRPr="006735BD" w:rsidRDefault="007327B8" w:rsidP="006735BD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CBDD7DD" w14:textId="6EE7C7CF" w:rsidR="00A63678" w:rsidRPr="006735BD" w:rsidRDefault="007327B8" w:rsidP="006735BD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6735BD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6735BD">
        <w:rPr>
          <w:rFonts w:asciiTheme="minorHAnsi" w:hAnsiTheme="minorHAnsi" w:cstheme="minorHAnsi"/>
          <w:b/>
          <w:sz w:val="18"/>
          <w:szCs w:val="18"/>
        </w:rPr>
        <w:t>Uygundur</w:t>
      </w:r>
    </w:p>
    <w:p w14:paraId="3A0EEB0A" w14:textId="7E884348" w:rsidR="00A63678" w:rsidRPr="006735BD" w:rsidRDefault="00A63678" w:rsidP="006735BD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6735BD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</w:t>
      </w:r>
      <w:r w:rsidRPr="006735BD">
        <w:rPr>
          <w:rFonts w:asciiTheme="minorHAnsi" w:hAnsiTheme="minorHAnsi" w:cstheme="minorHAnsi"/>
          <w:b/>
          <w:sz w:val="18"/>
          <w:szCs w:val="18"/>
        </w:rPr>
        <w:tab/>
      </w:r>
      <w:r w:rsidRPr="006735BD">
        <w:rPr>
          <w:rFonts w:asciiTheme="minorHAnsi" w:hAnsiTheme="minorHAnsi" w:cstheme="minorHAnsi"/>
          <w:b/>
          <w:sz w:val="18"/>
          <w:szCs w:val="18"/>
        </w:rPr>
        <w:tab/>
      </w:r>
      <w:r w:rsidRPr="006735BD">
        <w:rPr>
          <w:rFonts w:asciiTheme="minorHAnsi" w:hAnsiTheme="minorHAnsi" w:cstheme="minorHAnsi"/>
          <w:b/>
          <w:sz w:val="18"/>
          <w:szCs w:val="18"/>
        </w:rPr>
        <w:tab/>
      </w:r>
      <w:r w:rsidRPr="006735BD">
        <w:rPr>
          <w:rFonts w:asciiTheme="minorHAnsi" w:hAnsiTheme="minorHAnsi" w:cstheme="minorHAnsi"/>
          <w:b/>
          <w:sz w:val="18"/>
          <w:szCs w:val="18"/>
        </w:rPr>
        <w:tab/>
      </w:r>
      <w:r w:rsidR="007327B8" w:rsidRPr="006735BD">
        <w:rPr>
          <w:rFonts w:asciiTheme="minorHAnsi" w:hAnsiTheme="minorHAnsi" w:cstheme="minorHAnsi"/>
          <w:b/>
          <w:sz w:val="18"/>
          <w:szCs w:val="18"/>
        </w:rPr>
        <w:t xml:space="preserve">                    </w:t>
      </w:r>
      <w:r w:rsidR="008D0AD5" w:rsidRPr="006735BD">
        <w:rPr>
          <w:rFonts w:asciiTheme="minorHAnsi" w:hAnsiTheme="minorHAnsi" w:cstheme="minorHAnsi"/>
          <w:b/>
          <w:sz w:val="18"/>
          <w:szCs w:val="18"/>
        </w:rPr>
        <w:t xml:space="preserve">       </w:t>
      </w:r>
      <w:r w:rsidRPr="006735BD">
        <w:rPr>
          <w:rFonts w:asciiTheme="minorHAnsi" w:hAnsiTheme="minorHAnsi" w:cstheme="minorHAnsi"/>
          <w:b/>
          <w:sz w:val="18"/>
          <w:szCs w:val="18"/>
        </w:rPr>
        <w:t>.</w:t>
      </w:r>
      <w:r w:rsidR="008D0AD5" w:rsidRPr="006735B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6735BD">
        <w:rPr>
          <w:rFonts w:asciiTheme="minorHAnsi" w:hAnsiTheme="minorHAnsi" w:cstheme="minorHAnsi"/>
          <w:b/>
          <w:sz w:val="18"/>
          <w:szCs w:val="18"/>
        </w:rPr>
        <w:t>......................</w:t>
      </w:r>
    </w:p>
    <w:p w14:paraId="50713386" w14:textId="2AEF7BE8" w:rsidR="00F54805" w:rsidRPr="006735BD" w:rsidRDefault="00A63678" w:rsidP="006735BD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6735BD">
        <w:rPr>
          <w:rFonts w:asciiTheme="minorHAnsi" w:hAnsiTheme="minorHAnsi" w:cstheme="minorHAnsi"/>
          <w:b/>
          <w:sz w:val="18"/>
          <w:szCs w:val="18"/>
        </w:rPr>
        <w:t xml:space="preserve">Fen Bilimleri Öğretmeni   </w:t>
      </w:r>
      <w:r w:rsidRPr="006735BD">
        <w:rPr>
          <w:rFonts w:asciiTheme="minorHAnsi" w:hAnsiTheme="minorHAnsi" w:cstheme="minorHAnsi"/>
          <w:b/>
          <w:sz w:val="18"/>
          <w:szCs w:val="18"/>
        </w:rPr>
        <w:tab/>
      </w:r>
      <w:r w:rsidRPr="006735BD">
        <w:rPr>
          <w:rFonts w:asciiTheme="minorHAnsi" w:hAnsiTheme="minorHAnsi" w:cstheme="minorHAnsi"/>
          <w:b/>
          <w:sz w:val="18"/>
          <w:szCs w:val="18"/>
        </w:rPr>
        <w:tab/>
      </w:r>
      <w:r w:rsidRPr="006735BD">
        <w:rPr>
          <w:rFonts w:asciiTheme="minorHAnsi" w:hAnsiTheme="minorHAnsi" w:cstheme="minorHAnsi"/>
          <w:b/>
          <w:sz w:val="18"/>
          <w:szCs w:val="18"/>
        </w:rPr>
        <w:tab/>
      </w:r>
      <w:r w:rsidRPr="006735BD">
        <w:rPr>
          <w:rFonts w:asciiTheme="minorHAnsi" w:hAnsiTheme="minorHAnsi" w:cstheme="minorHAnsi"/>
          <w:b/>
          <w:sz w:val="18"/>
          <w:szCs w:val="18"/>
        </w:rPr>
        <w:tab/>
      </w:r>
      <w:r w:rsidR="00356A3E" w:rsidRPr="006735BD">
        <w:rPr>
          <w:rFonts w:asciiTheme="minorHAnsi" w:hAnsiTheme="minorHAnsi" w:cstheme="minorHAnsi"/>
          <w:b/>
          <w:sz w:val="18"/>
          <w:szCs w:val="18"/>
        </w:rPr>
        <w:t xml:space="preserve">                            </w:t>
      </w:r>
      <w:r w:rsidR="008D0AD5" w:rsidRPr="006735BD">
        <w:rPr>
          <w:rFonts w:asciiTheme="minorHAnsi" w:hAnsiTheme="minorHAnsi" w:cstheme="minorHAnsi"/>
          <w:b/>
          <w:sz w:val="18"/>
          <w:szCs w:val="18"/>
        </w:rPr>
        <w:t xml:space="preserve">           </w:t>
      </w:r>
      <w:r w:rsidRPr="006735BD">
        <w:rPr>
          <w:rFonts w:asciiTheme="minorHAnsi" w:hAnsiTheme="minorHAnsi" w:cstheme="minorHAnsi"/>
          <w:b/>
          <w:sz w:val="18"/>
          <w:szCs w:val="18"/>
        </w:rPr>
        <w:t xml:space="preserve">Okul Müdürü </w:t>
      </w:r>
    </w:p>
    <w:p w14:paraId="168D34D5" w14:textId="2E7CC86C" w:rsidR="007F233A" w:rsidRPr="006735BD" w:rsidRDefault="003A6297" w:rsidP="006735BD">
      <w:p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6735BD">
        <w:rPr>
          <w:rFonts w:asciiTheme="minorHAnsi" w:hAnsiTheme="minorHAnsi" w:cstheme="minorHAnsi"/>
          <w:b/>
          <w:bCs/>
          <w:sz w:val="18"/>
          <w:szCs w:val="18"/>
        </w:rPr>
        <w:t xml:space="preserve">Diğer haftaların günlük planları için </w:t>
      </w:r>
      <w:hyperlink r:id="rId10" w:history="1">
        <w:r w:rsidRPr="006735BD">
          <w:rPr>
            <w:rStyle w:val="Kpr"/>
            <w:rFonts w:asciiTheme="minorHAnsi" w:hAnsiTheme="minorHAnsi" w:cstheme="minorHAnsi"/>
            <w:b/>
            <w:bCs/>
            <w:color w:val="auto"/>
            <w:sz w:val="18"/>
            <w:szCs w:val="18"/>
            <w:u w:val="none"/>
          </w:rPr>
          <w:t>www.fenusbilim.com</w:t>
        </w:r>
      </w:hyperlink>
      <w:r w:rsidRPr="006735B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sectPr w:rsidR="007F233A" w:rsidRPr="0067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7"/>
  </w:num>
  <w:num w:numId="2" w16cid:durableId="66349471">
    <w:abstractNumId w:val="13"/>
  </w:num>
  <w:num w:numId="3" w16cid:durableId="1261372345">
    <w:abstractNumId w:val="20"/>
  </w:num>
  <w:num w:numId="4" w16cid:durableId="313340762">
    <w:abstractNumId w:val="0"/>
  </w:num>
  <w:num w:numId="5" w16cid:durableId="1314018762">
    <w:abstractNumId w:val="32"/>
  </w:num>
  <w:num w:numId="6" w16cid:durableId="1053113684">
    <w:abstractNumId w:val="30"/>
  </w:num>
  <w:num w:numId="7" w16cid:durableId="1545557389">
    <w:abstractNumId w:val="31"/>
  </w:num>
  <w:num w:numId="8" w16cid:durableId="1089539652">
    <w:abstractNumId w:val="16"/>
  </w:num>
  <w:num w:numId="9" w16cid:durableId="659115417">
    <w:abstractNumId w:val="28"/>
  </w:num>
  <w:num w:numId="10" w16cid:durableId="2029670170">
    <w:abstractNumId w:val="3"/>
  </w:num>
  <w:num w:numId="11" w16cid:durableId="1850217664">
    <w:abstractNumId w:val="27"/>
  </w:num>
  <w:num w:numId="12" w16cid:durableId="1517380869">
    <w:abstractNumId w:val="10"/>
  </w:num>
  <w:num w:numId="13" w16cid:durableId="1235503791">
    <w:abstractNumId w:val="6"/>
  </w:num>
  <w:num w:numId="14" w16cid:durableId="197158629">
    <w:abstractNumId w:val="24"/>
  </w:num>
  <w:num w:numId="15" w16cid:durableId="1998726478">
    <w:abstractNumId w:val="8"/>
  </w:num>
  <w:num w:numId="16" w16cid:durableId="1852333764">
    <w:abstractNumId w:val="18"/>
  </w:num>
  <w:num w:numId="17" w16cid:durableId="721363518">
    <w:abstractNumId w:val="15"/>
  </w:num>
  <w:num w:numId="18" w16cid:durableId="1999655272">
    <w:abstractNumId w:val="26"/>
  </w:num>
  <w:num w:numId="19" w16cid:durableId="927083511">
    <w:abstractNumId w:val="11"/>
  </w:num>
  <w:num w:numId="20" w16cid:durableId="10879620">
    <w:abstractNumId w:val="29"/>
  </w:num>
  <w:num w:numId="21" w16cid:durableId="399407950">
    <w:abstractNumId w:val="23"/>
  </w:num>
  <w:num w:numId="22" w16cid:durableId="143593060">
    <w:abstractNumId w:val="9"/>
  </w:num>
  <w:num w:numId="23" w16cid:durableId="174198785">
    <w:abstractNumId w:val="5"/>
  </w:num>
  <w:num w:numId="24" w16cid:durableId="839078111">
    <w:abstractNumId w:val="12"/>
  </w:num>
  <w:num w:numId="25" w16cid:durableId="1836067725">
    <w:abstractNumId w:val="17"/>
  </w:num>
  <w:num w:numId="26" w16cid:durableId="1938246622">
    <w:abstractNumId w:val="1"/>
  </w:num>
  <w:num w:numId="27" w16cid:durableId="1907884409">
    <w:abstractNumId w:val="14"/>
  </w:num>
  <w:num w:numId="28" w16cid:durableId="1172525019">
    <w:abstractNumId w:val="21"/>
  </w:num>
  <w:num w:numId="29" w16cid:durableId="255787926">
    <w:abstractNumId w:val="25"/>
  </w:num>
  <w:num w:numId="30" w16cid:durableId="1744140702">
    <w:abstractNumId w:val="22"/>
  </w:num>
  <w:num w:numId="31" w16cid:durableId="924724965">
    <w:abstractNumId w:val="19"/>
  </w:num>
  <w:num w:numId="32" w16cid:durableId="34085578">
    <w:abstractNumId w:val="4"/>
  </w:num>
  <w:num w:numId="33" w16cid:durableId="16909934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42BA"/>
    <w:rsid w:val="000250FC"/>
    <w:rsid w:val="0004537F"/>
    <w:rsid w:val="00086771"/>
    <w:rsid w:val="0009688A"/>
    <w:rsid w:val="00097115"/>
    <w:rsid w:val="000A7DE1"/>
    <w:rsid w:val="000B1840"/>
    <w:rsid w:val="000B3197"/>
    <w:rsid w:val="000E692B"/>
    <w:rsid w:val="000F22E5"/>
    <w:rsid w:val="000F6D9A"/>
    <w:rsid w:val="001007E6"/>
    <w:rsid w:val="001058F7"/>
    <w:rsid w:val="00107C8A"/>
    <w:rsid w:val="001241B7"/>
    <w:rsid w:val="00135C2B"/>
    <w:rsid w:val="0015085D"/>
    <w:rsid w:val="00162900"/>
    <w:rsid w:val="00187745"/>
    <w:rsid w:val="001942DC"/>
    <w:rsid w:val="00197150"/>
    <w:rsid w:val="001A42D7"/>
    <w:rsid w:val="001A50EF"/>
    <w:rsid w:val="001A7BBC"/>
    <w:rsid w:val="001B6F7F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40D06"/>
    <w:rsid w:val="00262945"/>
    <w:rsid w:val="00270CB8"/>
    <w:rsid w:val="002923CA"/>
    <w:rsid w:val="002A214B"/>
    <w:rsid w:val="002B31FE"/>
    <w:rsid w:val="002B52F4"/>
    <w:rsid w:val="002D5D8D"/>
    <w:rsid w:val="00303FA4"/>
    <w:rsid w:val="003070C5"/>
    <w:rsid w:val="00314CAA"/>
    <w:rsid w:val="00344FAE"/>
    <w:rsid w:val="00356A3E"/>
    <w:rsid w:val="003615FE"/>
    <w:rsid w:val="00367D91"/>
    <w:rsid w:val="0037373A"/>
    <w:rsid w:val="00384E72"/>
    <w:rsid w:val="00395E5C"/>
    <w:rsid w:val="003A5C35"/>
    <w:rsid w:val="003A6297"/>
    <w:rsid w:val="003E49FB"/>
    <w:rsid w:val="003F1AE7"/>
    <w:rsid w:val="004029F9"/>
    <w:rsid w:val="00414187"/>
    <w:rsid w:val="00476398"/>
    <w:rsid w:val="00484BA0"/>
    <w:rsid w:val="00496E11"/>
    <w:rsid w:val="004A0F7B"/>
    <w:rsid w:val="004A74AF"/>
    <w:rsid w:val="004D43CC"/>
    <w:rsid w:val="004D69D9"/>
    <w:rsid w:val="004D757D"/>
    <w:rsid w:val="004E0E7C"/>
    <w:rsid w:val="004E7FA6"/>
    <w:rsid w:val="00507E2A"/>
    <w:rsid w:val="005451F9"/>
    <w:rsid w:val="00551969"/>
    <w:rsid w:val="00553685"/>
    <w:rsid w:val="00562ECC"/>
    <w:rsid w:val="00572724"/>
    <w:rsid w:val="00581A01"/>
    <w:rsid w:val="00586E50"/>
    <w:rsid w:val="005977B6"/>
    <w:rsid w:val="005A64BA"/>
    <w:rsid w:val="005B76DD"/>
    <w:rsid w:val="005D5FC3"/>
    <w:rsid w:val="005F6E7A"/>
    <w:rsid w:val="0060598A"/>
    <w:rsid w:val="006220B7"/>
    <w:rsid w:val="0062610C"/>
    <w:rsid w:val="00631C05"/>
    <w:rsid w:val="00635577"/>
    <w:rsid w:val="00672273"/>
    <w:rsid w:val="006735BD"/>
    <w:rsid w:val="00685E37"/>
    <w:rsid w:val="0068797B"/>
    <w:rsid w:val="006952E9"/>
    <w:rsid w:val="006B0278"/>
    <w:rsid w:val="006D72BE"/>
    <w:rsid w:val="007021CC"/>
    <w:rsid w:val="00731B00"/>
    <w:rsid w:val="007327B8"/>
    <w:rsid w:val="00751AA4"/>
    <w:rsid w:val="00786A1C"/>
    <w:rsid w:val="0079277A"/>
    <w:rsid w:val="007932B2"/>
    <w:rsid w:val="007B6603"/>
    <w:rsid w:val="007D2E26"/>
    <w:rsid w:val="007F233A"/>
    <w:rsid w:val="00802E79"/>
    <w:rsid w:val="00806059"/>
    <w:rsid w:val="00824015"/>
    <w:rsid w:val="00837E08"/>
    <w:rsid w:val="00844B35"/>
    <w:rsid w:val="008463EA"/>
    <w:rsid w:val="00875F0D"/>
    <w:rsid w:val="0087796F"/>
    <w:rsid w:val="00892FF1"/>
    <w:rsid w:val="00897468"/>
    <w:rsid w:val="008A772A"/>
    <w:rsid w:val="008C2B06"/>
    <w:rsid w:val="008C3A36"/>
    <w:rsid w:val="008D0AD5"/>
    <w:rsid w:val="0090610D"/>
    <w:rsid w:val="0091075D"/>
    <w:rsid w:val="00922DCA"/>
    <w:rsid w:val="00923F63"/>
    <w:rsid w:val="00961FD3"/>
    <w:rsid w:val="009679B9"/>
    <w:rsid w:val="00984A92"/>
    <w:rsid w:val="00995989"/>
    <w:rsid w:val="009A36B8"/>
    <w:rsid w:val="009C1D70"/>
    <w:rsid w:val="009C6E8A"/>
    <w:rsid w:val="009C71B4"/>
    <w:rsid w:val="009F07F2"/>
    <w:rsid w:val="00A00A5B"/>
    <w:rsid w:val="00A038D1"/>
    <w:rsid w:val="00A155E8"/>
    <w:rsid w:val="00A231B7"/>
    <w:rsid w:val="00A401FA"/>
    <w:rsid w:val="00A56F26"/>
    <w:rsid w:val="00A602A4"/>
    <w:rsid w:val="00A63678"/>
    <w:rsid w:val="00A646EB"/>
    <w:rsid w:val="00A905F2"/>
    <w:rsid w:val="00AE550F"/>
    <w:rsid w:val="00B120A0"/>
    <w:rsid w:val="00B32ECC"/>
    <w:rsid w:val="00B6404C"/>
    <w:rsid w:val="00B7005A"/>
    <w:rsid w:val="00BA53B3"/>
    <w:rsid w:val="00BC085D"/>
    <w:rsid w:val="00BD0DC6"/>
    <w:rsid w:val="00BD5B47"/>
    <w:rsid w:val="00BD6C0E"/>
    <w:rsid w:val="00BE3BB4"/>
    <w:rsid w:val="00C0484C"/>
    <w:rsid w:val="00C27451"/>
    <w:rsid w:val="00C30EFC"/>
    <w:rsid w:val="00C330A9"/>
    <w:rsid w:val="00C52D12"/>
    <w:rsid w:val="00C63331"/>
    <w:rsid w:val="00CC4FD3"/>
    <w:rsid w:val="00CE275B"/>
    <w:rsid w:val="00CF597F"/>
    <w:rsid w:val="00D00E8D"/>
    <w:rsid w:val="00D07EA5"/>
    <w:rsid w:val="00D33E2F"/>
    <w:rsid w:val="00D504D5"/>
    <w:rsid w:val="00D71F82"/>
    <w:rsid w:val="00E23E6F"/>
    <w:rsid w:val="00E2550A"/>
    <w:rsid w:val="00E45F26"/>
    <w:rsid w:val="00EA4EE5"/>
    <w:rsid w:val="00EA7D7A"/>
    <w:rsid w:val="00EB29C9"/>
    <w:rsid w:val="00EB7E50"/>
    <w:rsid w:val="00EC0095"/>
    <w:rsid w:val="00ED59E7"/>
    <w:rsid w:val="00EE200F"/>
    <w:rsid w:val="00EE7095"/>
    <w:rsid w:val="00F1617F"/>
    <w:rsid w:val="00F2055F"/>
    <w:rsid w:val="00F2140D"/>
    <w:rsid w:val="00F23E4E"/>
    <w:rsid w:val="00F439BB"/>
    <w:rsid w:val="00F45143"/>
    <w:rsid w:val="00F50311"/>
    <w:rsid w:val="00F54805"/>
    <w:rsid w:val="00F77195"/>
    <w:rsid w:val="00FB6068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Huawei\OneDrive\Masa&#252;st&#252;\2025%20FENUS\g&#252;nl&#252;k%20plan\FEN%20B&#304;L&#304;MLER&#304;\5.SINIF\Siteye%20Eklenenler\1.D&#214;NEM\www.fenusbilim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enusbilim.com/2021/02/12/5-sinif-gunluk-planl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1177</Words>
  <Characters>8735</Characters>
  <Application>Microsoft Office Word</Application>
  <DocSecurity>0</DocSecurity>
  <Lines>229</Lines>
  <Paragraphs>133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19</cp:revision>
  <dcterms:created xsi:type="dcterms:W3CDTF">2025-11-19T11:20:00Z</dcterms:created>
  <dcterms:modified xsi:type="dcterms:W3CDTF">2025-11-20T09:09:00Z</dcterms:modified>
</cp:coreProperties>
</file>