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B51015">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proofErr w:type="gramStart"/>
      <w:r w:rsidRPr="0021555F">
        <w:rPr>
          <w:rFonts w:asciiTheme="minorHAnsi" w:hAnsiTheme="minorHAnsi" w:cstheme="minorHAnsi"/>
          <w:b/>
          <w:color w:val="000000" w:themeColor="text1"/>
        </w:rPr>
        <w:t>…….</w:t>
      </w:r>
      <w:proofErr w:type="gramEnd"/>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B51015">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48897532" w:rsidR="00685E37" w:rsidRPr="008C2B06" w:rsidRDefault="0004537F" w:rsidP="00B51015">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 xml:space="preserve">Tarih: </w:t>
            </w:r>
            <w:r w:rsidR="00074490">
              <w:rPr>
                <w:rFonts w:asciiTheme="minorHAnsi" w:hAnsiTheme="minorHAnsi" w:cstheme="minorHAnsi"/>
                <w:b/>
                <w:sz w:val="18"/>
                <w:szCs w:val="18"/>
              </w:rPr>
              <w:t>13-</w:t>
            </w:r>
            <w:r w:rsidR="00125489">
              <w:rPr>
                <w:rFonts w:asciiTheme="minorHAnsi" w:hAnsiTheme="minorHAnsi" w:cstheme="minorHAnsi"/>
                <w:b/>
                <w:sz w:val="18"/>
                <w:szCs w:val="18"/>
              </w:rPr>
              <w:t>26</w:t>
            </w:r>
            <w:r w:rsidR="00074490">
              <w:rPr>
                <w:rFonts w:asciiTheme="minorHAnsi" w:hAnsiTheme="minorHAnsi" w:cstheme="minorHAnsi"/>
                <w:b/>
                <w:sz w:val="18"/>
                <w:szCs w:val="18"/>
              </w:rPr>
              <w:t xml:space="preserve"> Nisan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B51015">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026DF4EC" w:rsidR="0004537F" w:rsidRPr="008C2B06" w:rsidRDefault="0004537F" w:rsidP="00B51015">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w:t>
            </w:r>
            <w:r w:rsidR="00125489">
              <w:rPr>
                <w:rFonts w:asciiTheme="minorHAnsi" w:eastAsiaTheme="minorEastAsia" w:hAnsiTheme="minorHAnsi" w:cstheme="minorHAnsi"/>
                <w:color w:val="000000" w:themeColor="text1"/>
                <w:sz w:val="18"/>
                <w:szCs w:val="18"/>
              </w:rPr>
              <w:t>8</w:t>
            </w:r>
            <w:r w:rsidRPr="008C2B06">
              <w:rPr>
                <w:rFonts w:asciiTheme="minorHAnsi" w:eastAsiaTheme="minorEastAsia" w:hAnsiTheme="minorHAnsi" w:cstheme="minorHAnsi"/>
                <w:color w:val="000000" w:themeColor="text1"/>
                <w:sz w:val="18"/>
                <w:szCs w:val="18"/>
              </w:rPr>
              <w:t xml:space="preserve">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5763A39D" w:rsidR="002006FE" w:rsidRPr="008C2B06" w:rsidRDefault="00074490" w:rsidP="00B51015">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Elektriğin Üretimi ve Direnç</w:t>
            </w:r>
          </w:p>
        </w:tc>
      </w:tr>
      <w:tr w:rsidR="00F1617F" w:rsidRPr="008C2B06" w14:paraId="3E561861" w14:textId="77777777" w:rsidTr="00923F63">
        <w:trPr>
          <w:trHeight w:val="311"/>
          <w:jc w:val="center"/>
        </w:trPr>
        <w:tc>
          <w:tcPr>
            <w:tcW w:w="2898" w:type="dxa"/>
          </w:tcPr>
          <w:p w14:paraId="27D2879C" w14:textId="1B595528" w:rsidR="00F1617F" w:rsidRPr="008C2B06" w:rsidRDefault="00F1617F"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tcPr>
          <w:p w14:paraId="52A92750" w14:textId="04CC9992" w:rsidR="00F1617F" w:rsidRPr="001A50EF" w:rsidRDefault="00074490" w:rsidP="00B51015">
            <w:pPr>
              <w:spacing w:after="0"/>
              <w:ind w:right="113"/>
              <w:rPr>
                <w:rFonts w:cs="Calibri"/>
                <w:color w:val="000000"/>
                <w:sz w:val="18"/>
                <w:szCs w:val="18"/>
              </w:rPr>
            </w:pPr>
            <w:r>
              <w:rPr>
                <w:rFonts w:cs="Calibri"/>
                <w:color w:val="000000"/>
                <w:sz w:val="18"/>
                <w:szCs w:val="18"/>
              </w:rPr>
              <w:t>Elektriksel Direnç ve Bağlı Olduğu Faktörler</w:t>
            </w:r>
          </w:p>
        </w:tc>
      </w:tr>
      <w:tr w:rsidR="000223D6" w:rsidRPr="008C2B06" w14:paraId="022AB9F2" w14:textId="77777777" w:rsidTr="00F53025">
        <w:trPr>
          <w:trHeight w:val="2171"/>
          <w:jc w:val="center"/>
        </w:trPr>
        <w:tc>
          <w:tcPr>
            <w:tcW w:w="2898" w:type="dxa"/>
          </w:tcPr>
          <w:p w14:paraId="20735657" w14:textId="77777777" w:rsidR="000223D6" w:rsidRPr="008C2B06" w:rsidRDefault="000223D6"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0223D6" w:rsidRPr="008C2B06" w:rsidRDefault="000223D6"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202CBF2F" w14:textId="6FAF35B4" w:rsidR="000223D6" w:rsidRDefault="000223D6" w:rsidP="00B51015">
            <w:pPr>
              <w:spacing w:after="0"/>
              <w:rPr>
                <w:rFonts w:cs="Calibri"/>
                <w:color w:val="000000"/>
                <w:sz w:val="18"/>
                <w:szCs w:val="18"/>
              </w:rPr>
            </w:pPr>
            <w:r w:rsidRPr="00050549">
              <w:rPr>
                <w:rFonts w:cs="Calibri"/>
                <w:b/>
                <w:bCs/>
                <w:color w:val="000000"/>
                <w:sz w:val="18"/>
                <w:szCs w:val="18"/>
              </w:rPr>
              <w:t>FB.6.6.2.1. Elektrik devresindeki ampulün parlaklığının bağlı olduğu değişkenleri belirlemeye yönelik deney yapabilme</w:t>
            </w:r>
            <w:r>
              <w:rPr>
                <w:rFonts w:cs="Calibri"/>
                <w:b/>
                <w:bCs/>
                <w:color w:val="000000"/>
                <w:sz w:val="18"/>
                <w:szCs w:val="18"/>
              </w:rPr>
              <w:br/>
            </w:r>
            <w:r>
              <w:rPr>
                <w:rFonts w:cs="Calibri"/>
                <w:color w:val="000000"/>
                <w:sz w:val="18"/>
                <w:szCs w:val="18"/>
              </w:rPr>
              <w:t>Süreç Bileşenleri:</w:t>
            </w:r>
          </w:p>
          <w:p w14:paraId="672CE740" w14:textId="77777777" w:rsidR="0019454A" w:rsidRDefault="0019454A" w:rsidP="00B51015">
            <w:pPr>
              <w:spacing w:after="0"/>
              <w:rPr>
                <w:rFonts w:cs="Calibri"/>
                <w:color w:val="000000"/>
                <w:sz w:val="18"/>
                <w:szCs w:val="18"/>
              </w:rPr>
            </w:pPr>
            <w:r w:rsidRPr="00050549">
              <w:rPr>
                <w:rFonts w:cs="Calibri"/>
                <w:color w:val="000000"/>
                <w:sz w:val="18"/>
                <w:szCs w:val="18"/>
              </w:rPr>
              <w:t xml:space="preserve">a) Elektrik devresindeki ampulün parlaklığının bağlı olduğu değişkenleri belirleyebilecek bir deney tasarlar. </w:t>
            </w:r>
          </w:p>
          <w:p w14:paraId="6FA0AD71" w14:textId="40B05EC9" w:rsidR="000223D6" w:rsidRPr="001A50EF" w:rsidRDefault="0019454A" w:rsidP="00B51015">
            <w:pPr>
              <w:spacing w:after="0"/>
              <w:rPr>
                <w:rFonts w:cs="Calibri"/>
                <w:color w:val="000000"/>
                <w:sz w:val="18"/>
                <w:szCs w:val="18"/>
              </w:rPr>
            </w:pPr>
            <w:r w:rsidRPr="00050549">
              <w:rPr>
                <w:rFonts w:cs="Calibri"/>
                <w:color w:val="000000"/>
                <w:sz w:val="18"/>
                <w:szCs w:val="18"/>
              </w:rPr>
              <w:t>b) Ampulün parlaklığının bağlı olduğu değişkenlere yönelik ölçüm yaparak analiz eder.</w:t>
            </w:r>
          </w:p>
        </w:tc>
      </w:tr>
    </w:tbl>
    <w:p w14:paraId="2E21F028" w14:textId="2A7B45B9" w:rsidR="00FB6068" w:rsidRPr="008C2B06" w:rsidRDefault="00FB606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B51015">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B51015">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B51015">
            <w:pPr>
              <w:spacing w:after="0"/>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B51015">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B51015">
            <w:pPr>
              <w:spacing w:after="0"/>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B51015">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B51015">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B51015">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B51015">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B51015">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B51015">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B51015">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5112D1C7" w:rsidR="00984A92" w:rsidRPr="00CE7BB3" w:rsidRDefault="00984A92" w:rsidP="00B51015">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59B0A48E" w14:textId="5365F92D" w:rsidR="00ED77FC" w:rsidRPr="00ED77FC" w:rsidRDefault="00ED77FC" w:rsidP="00B51015">
            <w:pPr>
              <w:spacing w:after="0"/>
              <w:rPr>
                <w:rFonts w:asciiTheme="minorHAnsi" w:hAnsiTheme="minorHAnsi" w:cstheme="minorHAnsi"/>
                <w:sz w:val="18"/>
                <w:szCs w:val="18"/>
              </w:rPr>
            </w:pPr>
            <w:r>
              <w:rPr>
                <w:rFonts w:asciiTheme="minorHAnsi" w:hAnsiTheme="minorHAnsi" w:cstheme="minorHAnsi"/>
                <w:sz w:val="18"/>
                <w:szCs w:val="18"/>
              </w:rPr>
              <w:t xml:space="preserve">Okul Fen MEB Kitabındaki </w:t>
            </w:r>
            <w:r w:rsidRPr="00ED77FC">
              <w:rPr>
                <w:rFonts w:asciiTheme="minorHAnsi" w:hAnsiTheme="minorHAnsi" w:cstheme="minorHAnsi"/>
                <w:sz w:val="18"/>
                <w:szCs w:val="18"/>
              </w:rPr>
              <w:t>(</w:t>
            </w:r>
            <w:r w:rsidRPr="00ED77FC">
              <w:rPr>
                <w:rFonts w:asciiTheme="minorHAnsi" w:hAnsiTheme="minorHAnsi" w:cstheme="minorHAnsi"/>
                <w:b/>
                <w:bCs/>
                <w:sz w:val="18"/>
                <w:szCs w:val="18"/>
              </w:rPr>
              <w:t>Etkinlik İstasyonu–4 + günlük yaşam + devre görselleri</w:t>
            </w:r>
            <w:r w:rsidRPr="00ED77FC">
              <w:rPr>
                <w:rFonts w:asciiTheme="minorHAnsi" w:hAnsiTheme="minorHAnsi" w:cstheme="minorHAnsi"/>
                <w:sz w:val="18"/>
                <w:szCs w:val="18"/>
              </w:rPr>
              <w:t>)</w:t>
            </w:r>
          </w:p>
          <w:p w14:paraId="68A5C289" w14:textId="77777777" w:rsidR="00ED77FC" w:rsidRPr="00ED77FC" w:rsidRDefault="00ED77FC" w:rsidP="00B51015">
            <w:pPr>
              <w:spacing w:after="0"/>
              <w:rPr>
                <w:rFonts w:asciiTheme="minorHAnsi" w:hAnsiTheme="minorHAnsi" w:cstheme="minorHAnsi"/>
                <w:sz w:val="18"/>
                <w:szCs w:val="18"/>
              </w:rPr>
            </w:pPr>
            <w:r w:rsidRPr="00ED77FC">
              <w:rPr>
                <w:rFonts w:asciiTheme="minorHAnsi" w:hAnsiTheme="minorHAnsi" w:cstheme="minorHAnsi"/>
                <w:sz w:val="18"/>
                <w:szCs w:val="18"/>
              </w:rPr>
              <w:t xml:space="preserve">• Derse, </w:t>
            </w:r>
            <w:r w:rsidRPr="00ED77FC">
              <w:rPr>
                <w:rFonts w:asciiTheme="minorHAnsi" w:hAnsiTheme="minorHAnsi" w:cstheme="minorHAnsi"/>
                <w:i/>
                <w:iCs/>
                <w:sz w:val="18"/>
                <w:szCs w:val="18"/>
              </w:rPr>
              <w:t>Etkinlik İstasyonu–4</w:t>
            </w:r>
            <w:r w:rsidRPr="00ED77FC">
              <w:rPr>
                <w:rFonts w:asciiTheme="minorHAnsi" w:hAnsiTheme="minorHAnsi" w:cstheme="minorHAnsi"/>
                <w:sz w:val="18"/>
                <w:szCs w:val="18"/>
              </w:rPr>
              <w:t>’te yer alan sorularla başlanabilir.</w:t>
            </w:r>
            <w:r w:rsidRPr="00ED77FC">
              <w:rPr>
                <w:rFonts w:asciiTheme="minorHAnsi" w:hAnsiTheme="minorHAnsi" w:cstheme="minorHAnsi"/>
                <w:sz w:val="18"/>
                <w:szCs w:val="18"/>
              </w:rPr>
              <w:br/>
              <w:t>“Ampul parlaklığını artırmak için neler yapılabilir?”, “Neden bazı devrelerde ampul daha parlak yanar?” gibi sorular yöneltilerek öğrencilerin ön bilgileri ortaya çıkarılabilir.</w:t>
            </w:r>
          </w:p>
          <w:p w14:paraId="3A24F1A3" w14:textId="77777777" w:rsidR="00ED77FC" w:rsidRPr="00ED77FC" w:rsidRDefault="00ED77FC" w:rsidP="00B51015">
            <w:pPr>
              <w:spacing w:after="0"/>
              <w:rPr>
                <w:rFonts w:asciiTheme="minorHAnsi" w:hAnsiTheme="minorHAnsi" w:cstheme="minorHAnsi"/>
                <w:sz w:val="18"/>
                <w:szCs w:val="18"/>
              </w:rPr>
            </w:pPr>
            <w:r w:rsidRPr="00ED77FC">
              <w:rPr>
                <w:rFonts w:asciiTheme="minorHAnsi" w:hAnsiTheme="minorHAnsi" w:cstheme="minorHAnsi"/>
                <w:sz w:val="18"/>
                <w:szCs w:val="18"/>
              </w:rPr>
              <w:t>• Günlük yaşamdan örnekler verilerek öğrencilerin dikkatleri çekilebilir.</w:t>
            </w:r>
            <w:r w:rsidRPr="00ED77FC">
              <w:rPr>
                <w:rFonts w:asciiTheme="minorHAnsi" w:hAnsiTheme="minorHAnsi" w:cstheme="minorHAnsi"/>
                <w:sz w:val="18"/>
                <w:szCs w:val="18"/>
              </w:rPr>
              <w:br/>
              <w:t xml:space="preserve">Örneğin; uzatma kablosu uzadıkça ışığın zayıflaması, ince kabloların daha az enerji iletmesi gibi durumlar üzerinden konu </w:t>
            </w:r>
            <w:proofErr w:type="spellStart"/>
            <w:r w:rsidRPr="00ED77FC">
              <w:rPr>
                <w:rFonts w:asciiTheme="minorHAnsi" w:hAnsiTheme="minorHAnsi" w:cstheme="minorHAnsi"/>
                <w:sz w:val="18"/>
                <w:szCs w:val="18"/>
              </w:rPr>
              <w:t>bağlamlaştırılabilir</w:t>
            </w:r>
            <w:proofErr w:type="spellEnd"/>
            <w:r w:rsidRPr="00ED77FC">
              <w:rPr>
                <w:rFonts w:asciiTheme="minorHAnsi" w:hAnsiTheme="minorHAnsi" w:cstheme="minorHAnsi"/>
                <w:sz w:val="18"/>
                <w:szCs w:val="18"/>
              </w:rPr>
              <w:t>.</w:t>
            </w:r>
          </w:p>
          <w:p w14:paraId="3656DB53" w14:textId="77777777" w:rsidR="00ED77FC" w:rsidRPr="00ED77FC" w:rsidRDefault="00ED77FC" w:rsidP="00B51015">
            <w:pPr>
              <w:spacing w:after="0"/>
              <w:rPr>
                <w:rFonts w:asciiTheme="minorHAnsi" w:hAnsiTheme="minorHAnsi" w:cstheme="minorHAnsi"/>
                <w:sz w:val="18"/>
                <w:szCs w:val="18"/>
              </w:rPr>
            </w:pPr>
            <w:r w:rsidRPr="00ED77FC">
              <w:rPr>
                <w:rFonts w:asciiTheme="minorHAnsi" w:hAnsiTheme="minorHAnsi" w:cstheme="minorHAnsi"/>
                <w:sz w:val="18"/>
                <w:szCs w:val="18"/>
              </w:rPr>
              <w:t>• Öğrencilerden “Ampul parlaklığı nelere bağlı olabilir?” sorusu üzerine tahminlerde bulunmaları istenebilir.</w:t>
            </w:r>
          </w:p>
          <w:p w14:paraId="3D28C237" w14:textId="77777777" w:rsidR="00ED77FC" w:rsidRPr="00ED77FC" w:rsidRDefault="00ED77FC" w:rsidP="00B51015">
            <w:pPr>
              <w:spacing w:after="0"/>
              <w:rPr>
                <w:rFonts w:asciiTheme="minorHAnsi" w:hAnsiTheme="minorHAnsi" w:cstheme="minorHAnsi"/>
                <w:sz w:val="18"/>
                <w:szCs w:val="18"/>
              </w:rPr>
            </w:pPr>
            <w:r w:rsidRPr="00ED77FC">
              <w:rPr>
                <w:rFonts w:asciiTheme="minorHAnsi" w:hAnsiTheme="minorHAnsi" w:cstheme="minorHAnsi"/>
                <w:sz w:val="18"/>
                <w:szCs w:val="18"/>
              </w:rPr>
              <w:t>• Farklı iletken tellerin kullanıldığı devre görselleri üzerinden öğrencilerden karşılaştırma yapmaları istenebilir.</w:t>
            </w:r>
          </w:p>
          <w:p w14:paraId="5FAF8142" w14:textId="77777777" w:rsidR="00ED77FC" w:rsidRPr="00ED77FC" w:rsidRDefault="00ED77FC" w:rsidP="00B51015">
            <w:pPr>
              <w:spacing w:after="0"/>
              <w:rPr>
                <w:rFonts w:asciiTheme="minorHAnsi" w:hAnsiTheme="minorHAnsi" w:cstheme="minorHAnsi"/>
                <w:sz w:val="18"/>
                <w:szCs w:val="18"/>
              </w:rPr>
            </w:pPr>
            <w:r w:rsidRPr="00ED77FC">
              <w:rPr>
                <w:rFonts w:asciiTheme="minorHAnsi" w:hAnsiTheme="minorHAnsi" w:cstheme="minorHAnsi"/>
                <w:sz w:val="18"/>
                <w:szCs w:val="18"/>
              </w:rPr>
              <w:t>• Bu süreçte öğrenciler, ampul parlaklığı ile tel özellikleri arasında ilişki kurmaya başlayabilir.</w:t>
            </w:r>
          </w:p>
          <w:p w14:paraId="78681049" w14:textId="1984C946" w:rsidR="00984A92" w:rsidRPr="008C2B06" w:rsidRDefault="00984A92" w:rsidP="00B51015">
            <w:pPr>
              <w:spacing w:after="0"/>
              <w:rPr>
                <w:rFonts w:asciiTheme="minorHAnsi" w:hAnsiTheme="minorHAnsi" w:cstheme="minorHAnsi"/>
                <w:sz w:val="18"/>
                <w:szCs w:val="18"/>
              </w:rPr>
            </w:pP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B51015">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B51015">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B51015">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4D6131FE" w14:textId="32177F9A"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lastRenderedPageBreak/>
              <w:t>Laboratuvar etkinlikleri, proje tabanlı öğrenme, probleme dayalı öğrenme, mühendislik tasarım uygulamaları vb.</w:t>
            </w:r>
          </w:p>
        </w:tc>
        <w:tc>
          <w:tcPr>
            <w:tcW w:w="7194" w:type="dxa"/>
          </w:tcPr>
          <w:p w14:paraId="6186EB61" w14:textId="77777777" w:rsidR="00E45CA2" w:rsidRPr="00E45CA2"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lastRenderedPageBreak/>
              <w:t xml:space="preserve">Fen kitabındaki </w:t>
            </w:r>
            <w:r w:rsidRPr="00E45CA2">
              <w:rPr>
                <w:rFonts w:asciiTheme="minorHAnsi" w:eastAsiaTheme="minorEastAsia" w:hAnsiTheme="minorHAnsi" w:cstheme="minorHAnsi"/>
                <w:b/>
                <w:bCs/>
                <w:color w:val="000000" w:themeColor="text1"/>
                <w:sz w:val="18"/>
                <w:szCs w:val="18"/>
              </w:rPr>
              <w:t>Etkinlik İstasyonu–6 + deney düzenekleri</w:t>
            </w:r>
            <w:r w:rsidRPr="00E45CA2">
              <w:rPr>
                <w:rFonts w:asciiTheme="minorHAnsi" w:eastAsiaTheme="minorEastAsia" w:hAnsiTheme="minorHAnsi" w:cstheme="minorHAnsi"/>
                <w:color w:val="000000" w:themeColor="text1"/>
                <w:sz w:val="18"/>
                <w:szCs w:val="18"/>
              </w:rPr>
              <w:t>)</w:t>
            </w:r>
          </w:p>
          <w:p w14:paraId="1000CB99" w14:textId="77777777" w:rsidR="00E45CA2" w:rsidRPr="00E45CA2"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sidRPr="00E45CA2">
              <w:rPr>
                <w:rFonts w:asciiTheme="minorHAnsi" w:eastAsiaTheme="minorEastAsia" w:hAnsiTheme="minorHAnsi" w:cstheme="minorHAnsi"/>
                <w:color w:val="000000" w:themeColor="text1"/>
                <w:sz w:val="18"/>
                <w:szCs w:val="18"/>
              </w:rPr>
              <w:t xml:space="preserve">• Öğrenciler </w:t>
            </w:r>
            <w:r w:rsidRPr="00E45CA2">
              <w:rPr>
                <w:rFonts w:asciiTheme="minorHAnsi" w:eastAsiaTheme="minorEastAsia" w:hAnsiTheme="minorHAnsi" w:cstheme="minorHAnsi"/>
                <w:b/>
                <w:bCs/>
                <w:color w:val="000000" w:themeColor="text1"/>
                <w:sz w:val="18"/>
                <w:szCs w:val="18"/>
              </w:rPr>
              <w:t>Etkinlik İstasyonu–6</w:t>
            </w:r>
            <w:r w:rsidRPr="00E45CA2">
              <w:rPr>
                <w:rFonts w:asciiTheme="minorHAnsi" w:eastAsiaTheme="minorEastAsia" w:hAnsiTheme="minorHAnsi" w:cstheme="minorHAnsi"/>
                <w:color w:val="000000" w:themeColor="text1"/>
                <w:sz w:val="18"/>
                <w:szCs w:val="18"/>
              </w:rPr>
              <w:t xml:space="preserve"> kapsamında basit elektrik devresi kurabilir.</w:t>
            </w:r>
          </w:p>
          <w:p w14:paraId="098F5A84" w14:textId="77777777" w:rsidR="00E45CA2" w:rsidRPr="00E45CA2"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sidRPr="00E45CA2">
              <w:rPr>
                <w:rFonts w:asciiTheme="minorHAnsi" w:eastAsiaTheme="minorEastAsia" w:hAnsiTheme="minorHAnsi" w:cstheme="minorHAnsi"/>
                <w:color w:val="000000" w:themeColor="text1"/>
                <w:sz w:val="18"/>
                <w:szCs w:val="18"/>
              </w:rPr>
              <w:t>• Devrede test uçları oluşturularak:</w:t>
            </w:r>
            <w:r w:rsidRPr="00E45CA2">
              <w:rPr>
                <w:rFonts w:asciiTheme="minorHAnsi" w:eastAsiaTheme="minorEastAsia" w:hAnsiTheme="minorHAnsi" w:cstheme="minorHAnsi"/>
                <w:color w:val="000000" w:themeColor="text1"/>
                <w:sz w:val="18"/>
                <w:szCs w:val="18"/>
              </w:rPr>
              <w:br/>
              <w:t>– Uzun ve kısa teller</w:t>
            </w:r>
            <w:r w:rsidRPr="00E45CA2">
              <w:rPr>
                <w:rFonts w:asciiTheme="minorHAnsi" w:eastAsiaTheme="minorEastAsia" w:hAnsiTheme="minorHAnsi" w:cstheme="minorHAnsi"/>
                <w:color w:val="000000" w:themeColor="text1"/>
                <w:sz w:val="18"/>
                <w:szCs w:val="18"/>
              </w:rPr>
              <w:br/>
              <w:t>– İnce ve kalın teller</w:t>
            </w:r>
            <w:r w:rsidRPr="00E45CA2">
              <w:rPr>
                <w:rFonts w:asciiTheme="minorHAnsi" w:eastAsiaTheme="minorEastAsia" w:hAnsiTheme="minorHAnsi" w:cstheme="minorHAnsi"/>
                <w:color w:val="000000" w:themeColor="text1"/>
                <w:sz w:val="18"/>
                <w:szCs w:val="18"/>
              </w:rPr>
              <w:br/>
              <w:t>– Farklı cins teller (bakır, demir vb.)</w:t>
            </w:r>
            <w:r w:rsidRPr="00E45CA2">
              <w:rPr>
                <w:rFonts w:asciiTheme="minorHAnsi" w:eastAsiaTheme="minorEastAsia" w:hAnsiTheme="minorHAnsi" w:cstheme="minorHAnsi"/>
                <w:color w:val="000000" w:themeColor="text1"/>
                <w:sz w:val="18"/>
                <w:szCs w:val="18"/>
              </w:rPr>
              <w:br/>
              <w:t>kullanılarak deneyler yapılabilir.</w:t>
            </w:r>
          </w:p>
          <w:p w14:paraId="5B903AB1" w14:textId="77777777" w:rsidR="00E45CA2" w:rsidRPr="00E45CA2"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sidRPr="00E45CA2">
              <w:rPr>
                <w:rFonts w:asciiTheme="minorHAnsi" w:eastAsiaTheme="minorEastAsia" w:hAnsiTheme="minorHAnsi" w:cstheme="minorHAnsi"/>
                <w:color w:val="000000" w:themeColor="text1"/>
                <w:sz w:val="18"/>
                <w:szCs w:val="18"/>
              </w:rPr>
              <w:t>• Öğrenciler her durumda ampul parlaklığındaki değişimi gözlemleyebilir.</w:t>
            </w:r>
          </w:p>
          <w:p w14:paraId="47286FBE" w14:textId="77777777" w:rsidR="00E45CA2" w:rsidRPr="00E45CA2"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sidRPr="00E45CA2">
              <w:rPr>
                <w:rFonts w:asciiTheme="minorHAnsi" w:eastAsiaTheme="minorEastAsia" w:hAnsiTheme="minorHAnsi" w:cstheme="minorHAnsi"/>
                <w:color w:val="000000" w:themeColor="text1"/>
                <w:sz w:val="18"/>
                <w:szCs w:val="18"/>
              </w:rPr>
              <w:t>• Deney sürecinde öğrenciler:</w:t>
            </w:r>
            <w:r w:rsidRPr="00E45CA2">
              <w:rPr>
                <w:rFonts w:asciiTheme="minorHAnsi" w:eastAsiaTheme="minorEastAsia" w:hAnsiTheme="minorHAnsi" w:cstheme="minorHAnsi"/>
                <w:color w:val="000000" w:themeColor="text1"/>
                <w:sz w:val="18"/>
                <w:szCs w:val="18"/>
              </w:rPr>
              <w:br/>
            </w:r>
            <w:r w:rsidRPr="00E45CA2">
              <w:rPr>
                <w:rFonts w:ascii="Segoe UI Symbol" w:eastAsiaTheme="minorEastAsia" w:hAnsi="Segoe UI Symbol" w:cs="Segoe UI Symbol"/>
                <w:color w:val="000000" w:themeColor="text1"/>
                <w:sz w:val="18"/>
                <w:szCs w:val="18"/>
              </w:rPr>
              <w:t>✔</w:t>
            </w:r>
            <w:r w:rsidRPr="00E45CA2">
              <w:rPr>
                <w:rFonts w:asciiTheme="minorHAnsi" w:eastAsiaTheme="minorEastAsia" w:hAnsiTheme="minorHAnsi" w:cstheme="minorHAnsi"/>
                <w:color w:val="000000" w:themeColor="text1"/>
                <w:sz w:val="18"/>
                <w:szCs w:val="18"/>
              </w:rPr>
              <w:t xml:space="preserve"> Devre kurabilir</w:t>
            </w:r>
            <w:r w:rsidRPr="00E45CA2">
              <w:rPr>
                <w:rFonts w:asciiTheme="minorHAnsi" w:eastAsiaTheme="minorEastAsia" w:hAnsiTheme="minorHAnsi" w:cstheme="minorHAnsi"/>
                <w:color w:val="000000" w:themeColor="text1"/>
                <w:sz w:val="18"/>
                <w:szCs w:val="18"/>
              </w:rPr>
              <w:br/>
            </w:r>
            <w:r w:rsidRPr="00E45CA2">
              <w:rPr>
                <w:rFonts w:ascii="Segoe UI Symbol" w:eastAsiaTheme="minorEastAsia" w:hAnsi="Segoe UI Symbol" w:cs="Segoe UI Symbol"/>
                <w:color w:val="000000" w:themeColor="text1"/>
                <w:sz w:val="18"/>
                <w:szCs w:val="18"/>
              </w:rPr>
              <w:t>✔</w:t>
            </w:r>
            <w:r w:rsidRPr="00E45CA2">
              <w:rPr>
                <w:rFonts w:asciiTheme="minorHAnsi" w:eastAsiaTheme="minorEastAsia" w:hAnsiTheme="minorHAnsi" w:cstheme="minorHAnsi"/>
                <w:color w:val="000000" w:themeColor="text1"/>
                <w:sz w:val="18"/>
                <w:szCs w:val="18"/>
              </w:rPr>
              <w:t xml:space="preserve"> Deney tasarlayabilir</w:t>
            </w:r>
            <w:r w:rsidRPr="00E45CA2">
              <w:rPr>
                <w:rFonts w:asciiTheme="minorHAnsi" w:eastAsiaTheme="minorEastAsia" w:hAnsiTheme="minorHAnsi" w:cstheme="minorHAnsi"/>
                <w:color w:val="000000" w:themeColor="text1"/>
                <w:sz w:val="18"/>
                <w:szCs w:val="18"/>
              </w:rPr>
              <w:br/>
            </w:r>
            <w:r w:rsidRPr="00E45CA2">
              <w:rPr>
                <w:rFonts w:ascii="Segoe UI Symbol" w:eastAsiaTheme="minorEastAsia" w:hAnsi="Segoe UI Symbol" w:cs="Segoe UI Symbol"/>
                <w:color w:val="000000" w:themeColor="text1"/>
                <w:sz w:val="18"/>
                <w:szCs w:val="18"/>
              </w:rPr>
              <w:lastRenderedPageBreak/>
              <w:t>✔</w:t>
            </w:r>
            <w:r w:rsidRPr="00E45CA2">
              <w:rPr>
                <w:rFonts w:asciiTheme="minorHAnsi" w:eastAsiaTheme="minorEastAsia" w:hAnsiTheme="minorHAnsi" w:cstheme="minorHAnsi"/>
                <w:color w:val="000000" w:themeColor="text1"/>
                <w:sz w:val="18"/>
                <w:szCs w:val="18"/>
              </w:rPr>
              <w:t xml:space="preserve"> G</w:t>
            </w:r>
            <w:r w:rsidRPr="00E45CA2">
              <w:rPr>
                <w:rFonts w:eastAsiaTheme="minorEastAsia" w:cs="Calibri"/>
                <w:color w:val="000000" w:themeColor="text1"/>
                <w:sz w:val="18"/>
                <w:szCs w:val="18"/>
              </w:rPr>
              <w:t>ö</w:t>
            </w:r>
            <w:r w:rsidRPr="00E45CA2">
              <w:rPr>
                <w:rFonts w:asciiTheme="minorHAnsi" w:eastAsiaTheme="minorEastAsia" w:hAnsiTheme="minorHAnsi" w:cstheme="minorHAnsi"/>
                <w:color w:val="000000" w:themeColor="text1"/>
                <w:sz w:val="18"/>
                <w:szCs w:val="18"/>
              </w:rPr>
              <w:t>zlem yapabilir</w:t>
            </w:r>
            <w:r w:rsidRPr="00E45CA2">
              <w:rPr>
                <w:rFonts w:asciiTheme="minorHAnsi" w:eastAsiaTheme="minorEastAsia" w:hAnsiTheme="minorHAnsi" w:cstheme="minorHAnsi"/>
                <w:color w:val="000000" w:themeColor="text1"/>
                <w:sz w:val="18"/>
                <w:szCs w:val="18"/>
              </w:rPr>
              <w:br/>
            </w:r>
            <w:r w:rsidRPr="00E45CA2">
              <w:rPr>
                <w:rFonts w:ascii="Segoe UI Symbol" w:eastAsiaTheme="minorEastAsia" w:hAnsi="Segoe UI Symbol" w:cs="Segoe UI Symbol"/>
                <w:color w:val="000000" w:themeColor="text1"/>
                <w:sz w:val="18"/>
                <w:szCs w:val="18"/>
              </w:rPr>
              <w:t>✔</w:t>
            </w:r>
            <w:r w:rsidRPr="00E45CA2">
              <w:rPr>
                <w:rFonts w:asciiTheme="minorHAnsi" w:eastAsiaTheme="minorEastAsia" w:hAnsiTheme="minorHAnsi" w:cstheme="minorHAnsi"/>
                <w:color w:val="000000" w:themeColor="text1"/>
                <w:sz w:val="18"/>
                <w:szCs w:val="18"/>
              </w:rPr>
              <w:t xml:space="preserve"> Verileri tabloya kaydedebilir</w:t>
            </w:r>
            <w:r w:rsidRPr="00E45CA2">
              <w:rPr>
                <w:rFonts w:asciiTheme="minorHAnsi" w:eastAsiaTheme="minorEastAsia" w:hAnsiTheme="minorHAnsi" w:cstheme="minorHAnsi"/>
                <w:color w:val="000000" w:themeColor="text1"/>
                <w:sz w:val="18"/>
                <w:szCs w:val="18"/>
              </w:rPr>
              <w:br/>
            </w:r>
            <w:r w:rsidRPr="00E45CA2">
              <w:rPr>
                <w:rFonts w:ascii="Segoe UI Symbol" w:eastAsiaTheme="minorEastAsia" w:hAnsi="Segoe UI Symbol" w:cs="Segoe UI Symbol"/>
                <w:color w:val="000000" w:themeColor="text1"/>
                <w:sz w:val="18"/>
                <w:szCs w:val="18"/>
              </w:rPr>
              <w:t>✔</w:t>
            </w:r>
            <w:r w:rsidRPr="00E45CA2">
              <w:rPr>
                <w:rFonts w:asciiTheme="minorHAnsi" w:eastAsiaTheme="minorEastAsia" w:hAnsiTheme="minorHAnsi" w:cstheme="minorHAnsi"/>
                <w:color w:val="000000" w:themeColor="text1"/>
                <w:sz w:val="18"/>
                <w:szCs w:val="18"/>
              </w:rPr>
              <w:t xml:space="preserve"> De</w:t>
            </w:r>
            <w:r w:rsidRPr="00E45CA2">
              <w:rPr>
                <w:rFonts w:eastAsiaTheme="minorEastAsia" w:cs="Calibri"/>
                <w:color w:val="000000" w:themeColor="text1"/>
                <w:sz w:val="18"/>
                <w:szCs w:val="18"/>
              </w:rPr>
              <w:t>ğ</w:t>
            </w:r>
            <w:r w:rsidRPr="00E45CA2">
              <w:rPr>
                <w:rFonts w:asciiTheme="minorHAnsi" w:eastAsiaTheme="minorEastAsia" w:hAnsiTheme="minorHAnsi" w:cstheme="minorHAnsi"/>
                <w:color w:val="000000" w:themeColor="text1"/>
                <w:sz w:val="18"/>
                <w:szCs w:val="18"/>
              </w:rPr>
              <w:t>i</w:t>
            </w:r>
            <w:r w:rsidRPr="00E45CA2">
              <w:rPr>
                <w:rFonts w:eastAsiaTheme="minorEastAsia" w:cs="Calibri"/>
                <w:color w:val="000000" w:themeColor="text1"/>
                <w:sz w:val="18"/>
                <w:szCs w:val="18"/>
              </w:rPr>
              <w:t>ş</w:t>
            </w:r>
            <w:r w:rsidRPr="00E45CA2">
              <w:rPr>
                <w:rFonts w:asciiTheme="minorHAnsi" w:eastAsiaTheme="minorEastAsia" w:hAnsiTheme="minorHAnsi" w:cstheme="minorHAnsi"/>
                <w:color w:val="000000" w:themeColor="text1"/>
                <w:sz w:val="18"/>
                <w:szCs w:val="18"/>
              </w:rPr>
              <w:t>kenleri kar</w:t>
            </w:r>
            <w:r w:rsidRPr="00E45CA2">
              <w:rPr>
                <w:rFonts w:eastAsiaTheme="minorEastAsia" w:cs="Calibri"/>
                <w:color w:val="000000" w:themeColor="text1"/>
                <w:sz w:val="18"/>
                <w:szCs w:val="18"/>
              </w:rPr>
              <w:t>şı</w:t>
            </w:r>
            <w:r w:rsidRPr="00E45CA2">
              <w:rPr>
                <w:rFonts w:asciiTheme="minorHAnsi" w:eastAsiaTheme="minorEastAsia" w:hAnsiTheme="minorHAnsi" w:cstheme="minorHAnsi"/>
                <w:color w:val="000000" w:themeColor="text1"/>
                <w:sz w:val="18"/>
                <w:szCs w:val="18"/>
              </w:rPr>
              <w:t>la</w:t>
            </w:r>
            <w:r w:rsidRPr="00E45CA2">
              <w:rPr>
                <w:rFonts w:eastAsiaTheme="minorEastAsia" w:cs="Calibri"/>
                <w:color w:val="000000" w:themeColor="text1"/>
                <w:sz w:val="18"/>
                <w:szCs w:val="18"/>
              </w:rPr>
              <w:t>ş</w:t>
            </w:r>
            <w:r w:rsidRPr="00E45CA2">
              <w:rPr>
                <w:rFonts w:asciiTheme="minorHAnsi" w:eastAsiaTheme="minorEastAsia" w:hAnsiTheme="minorHAnsi" w:cstheme="minorHAnsi"/>
                <w:color w:val="000000" w:themeColor="text1"/>
                <w:sz w:val="18"/>
                <w:szCs w:val="18"/>
              </w:rPr>
              <w:t>t</w:t>
            </w:r>
            <w:r w:rsidRPr="00E45CA2">
              <w:rPr>
                <w:rFonts w:eastAsiaTheme="minorEastAsia" w:cs="Calibri"/>
                <w:color w:val="000000" w:themeColor="text1"/>
                <w:sz w:val="18"/>
                <w:szCs w:val="18"/>
              </w:rPr>
              <w:t>ı</w:t>
            </w:r>
            <w:r w:rsidRPr="00E45CA2">
              <w:rPr>
                <w:rFonts w:asciiTheme="minorHAnsi" w:eastAsiaTheme="minorEastAsia" w:hAnsiTheme="minorHAnsi" w:cstheme="minorHAnsi"/>
                <w:color w:val="000000" w:themeColor="text1"/>
                <w:sz w:val="18"/>
                <w:szCs w:val="18"/>
              </w:rPr>
              <w:t>rabilir</w:t>
            </w:r>
          </w:p>
          <w:p w14:paraId="24C7B325" w14:textId="6D498F48" w:rsidR="00AE550F" w:rsidRPr="008C2B06" w:rsidRDefault="00E45CA2" w:rsidP="00B51015">
            <w:pPr>
              <w:tabs>
                <w:tab w:val="left" w:pos="274"/>
                <w:tab w:val="left" w:pos="433"/>
              </w:tabs>
              <w:spacing w:after="0"/>
              <w:rPr>
                <w:rFonts w:asciiTheme="minorHAnsi" w:eastAsiaTheme="minorEastAsia" w:hAnsiTheme="minorHAnsi" w:cstheme="minorHAnsi"/>
                <w:color w:val="000000" w:themeColor="text1"/>
                <w:sz w:val="18"/>
                <w:szCs w:val="18"/>
              </w:rPr>
            </w:pPr>
            <w:r w:rsidRPr="00E45CA2">
              <w:rPr>
                <w:rFonts w:asciiTheme="minorHAnsi" w:eastAsiaTheme="minorEastAsia" w:hAnsiTheme="minorHAnsi" w:cstheme="minorHAnsi"/>
                <w:color w:val="000000" w:themeColor="text1"/>
                <w:sz w:val="18"/>
                <w:szCs w:val="18"/>
              </w:rPr>
              <w:t>• Öğrenciler, telin uzunluğu arttıkça parlaklığın azalabileceğini, kalınlık arttıkça parlaklığın artabileceğini ve telin cinsine göre değişim olabileceğini fark edebilir.</w:t>
            </w: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İş birliği</w:t>
            </w:r>
          </w:p>
          <w:p w14:paraId="57A12D4C" w14:textId="4505F447" w:rsidR="00984A92" w:rsidRPr="008C2B06" w:rsidRDefault="00984A92" w:rsidP="00B51015">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B51015">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B51015">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4694E4E8" w:rsidR="00984A92" w:rsidRPr="002409C3" w:rsidRDefault="00984A92" w:rsidP="00B51015">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7194" w:type="dxa"/>
          </w:tcPr>
          <w:p w14:paraId="559BB166" w14:textId="77777777" w:rsidR="002409C3" w:rsidRPr="002409C3"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w:t>
            </w:r>
            <w:r w:rsidRPr="002409C3">
              <w:rPr>
                <w:rFonts w:asciiTheme="minorHAnsi" w:hAnsiTheme="minorHAnsi" w:cstheme="minorHAnsi"/>
                <w:b/>
                <w:bCs/>
                <w:sz w:val="18"/>
                <w:szCs w:val="18"/>
              </w:rPr>
              <w:t>Uzmanlık grupları + tartışma + paylaşım</w:t>
            </w:r>
            <w:r w:rsidRPr="002409C3">
              <w:rPr>
                <w:rFonts w:asciiTheme="minorHAnsi" w:hAnsiTheme="minorHAnsi" w:cstheme="minorHAnsi"/>
                <w:sz w:val="18"/>
                <w:szCs w:val="18"/>
              </w:rPr>
              <w:t>)</w:t>
            </w:r>
          </w:p>
          <w:p w14:paraId="50F17AAF" w14:textId="77777777" w:rsidR="002409C3" w:rsidRPr="002409C3"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 Öğrenciler 3–4 kişilik gruplar hâlinde çalışarak görev paylaşımı yapabilir.</w:t>
            </w:r>
          </w:p>
          <w:p w14:paraId="5AFC633D" w14:textId="77777777" w:rsidR="002409C3" w:rsidRPr="002409C3"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 Gruplar;</w:t>
            </w:r>
            <w:r w:rsidRPr="002409C3">
              <w:rPr>
                <w:rFonts w:asciiTheme="minorHAnsi" w:hAnsiTheme="minorHAnsi" w:cstheme="minorHAnsi"/>
                <w:sz w:val="18"/>
                <w:szCs w:val="18"/>
              </w:rPr>
              <w:br/>
              <w:t>– Tel uzunluğu</w:t>
            </w:r>
            <w:r w:rsidRPr="002409C3">
              <w:rPr>
                <w:rFonts w:asciiTheme="minorHAnsi" w:hAnsiTheme="minorHAnsi" w:cstheme="minorHAnsi"/>
                <w:sz w:val="18"/>
                <w:szCs w:val="18"/>
              </w:rPr>
              <w:br/>
              <w:t>– Tel kalınlığı</w:t>
            </w:r>
            <w:r w:rsidRPr="002409C3">
              <w:rPr>
                <w:rFonts w:asciiTheme="minorHAnsi" w:hAnsiTheme="minorHAnsi" w:cstheme="minorHAnsi"/>
                <w:sz w:val="18"/>
                <w:szCs w:val="18"/>
              </w:rPr>
              <w:br/>
              <w:t>– Tel cinsi</w:t>
            </w:r>
            <w:r w:rsidRPr="002409C3">
              <w:rPr>
                <w:rFonts w:asciiTheme="minorHAnsi" w:hAnsiTheme="minorHAnsi" w:cstheme="minorHAnsi"/>
                <w:sz w:val="18"/>
                <w:szCs w:val="18"/>
              </w:rPr>
              <w:br/>
              <w:t>başlıklarında uzmanlaşarak araştırma yapabilir.</w:t>
            </w:r>
          </w:p>
          <w:p w14:paraId="1F7808EF" w14:textId="77777777" w:rsidR="002409C3" w:rsidRPr="002409C3"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 Her grup elde ettiği sonuçları arkadaşlarına sunabilir ve sınıf içinde tartışma ortamı oluşturulabilir.</w:t>
            </w:r>
          </w:p>
          <w:p w14:paraId="5AFB7045" w14:textId="77777777" w:rsidR="002409C3" w:rsidRPr="002409C3"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 Öğrenciler farklı grupların sonuçlarını karşılaştırarak ortak bilimsel çıkarımlara ulaşabilir.</w:t>
            </w:r>
          </w:p>
          <w:p w14:paraId="2F3CDC6C" w14:textId="103F868E" w:rsidR="009A36B8" w:rsidRPr="009A36B8" w:rsidRDefault="002409C3" w:rsidP="00B51015">
            <w:pPr>
              <w:tabs>
                <w:tab w:val="left" w:pos="375"/>
              </w:tabs>
              <w:spacing w:after="0"/>
              <w:rPr>
                <w:rFonts w:asciiTheme="minorHAnsi" w:hAnsiTheme="minorHAnsi" w:cstheme="minorHAnsi"/>
                <w:sz w:val="18"/>
                <w:szCs w:val="18"/>
              </w:rPr>
            </w:pPr>
            <w:r w:rsidRPr="002409C3">
              <w:rPr>
                <w:rFonts w:asciiTheme="minorHAnsi" w:hAnsiTheme="minorHAnsi" w:cstheme="minorHAnsi"/>
                <w:sz w:val="18"/>
                <w:szCs w:val="18"/>
              </w:rPr>
              <w:t>• Bu süreçte öğrenciler iş birliği, iletişim ve bilimsel düşünme becerilerini geliştirebilir.</w:t>
            </w: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B51015">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B51015">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B51015">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B5101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6D8831CF" w14:textId="77777777" w:rsidR="006578B8" w:rsidRPr="006578B8" w:rsidRDefault="006578B8" w:rsidP="00B51015">
            <w:pPr>
              <w:tabs>
                <w:tab w:val="left" w:pos="415"/>
              </w:tabs>
              <w:spacing w:after="0"/>
              <w:rPr>
                <w:rFonts w:asciiTheme="minorHAnsi" w:hAnsiTheme="minorHAnsi" w:cstheme="minorHAnsi"/>
                <w:sz w:val="18"/>
                <w:szCs w:val="18"/>
              </w:rPr>
            </w:pPr>
            <w:r w:rsidRPr="006578B8">
              <w:rPr>
                <w:rFonts w:asciiTheme="minorHAnsi" w:hAnsiTheme="minorHAnsi" w:cstheme="minorHAnsi"/>
                <w:i/>
                <w:iCs/>
                <w:sz w:val="18"/>
                <w:szCs w:val="18"/>
              </w:rPr>
              <w:t>(Etkinlik İstasyonu–5 + Pekiştirme İstasyonu + performans görevleri)</w:t>
            </w:r>
          </w:p>
          <w:p w14:paraId="487C7794" w14:textId="77777777" w:rsidR="006578B8" w:rsidRDefault="006578B8" w:rsidP="00B51015">
            <w:pPr>
              <w:tabs>
                <w:tab w:val="left" w:pos="415"/>
              </w:tabs>
              <w:spacing w:after="0"/>
              <w:rPr>
                <w:rFonts w:asciiTheme="minorHAnsi" w:hAnsiTheme="minorHAnsi" w:cstheme="minorHAnsi"/>
                <w:sz w:val="18"/>
                <w:szCs w:val="18"/>
              </w:rPr>
            </w:pPr>
            <w:r w:rsidRPr="006578B8">
              <w:rPr>
                <w:rFonts w:asciiTheme="minorHAnsi" w:hAnsiTheme="minorHAnsi" w:cstheme="minorHAnsi"/>
                <w:sz w:val="18"/>
                <w:szCs w:val="18"/>
              </w:rPr>
              <w:t xml:space="preserve">Öğrenciler, Etkinlik İstasyonu–5’te yer alan analojilerden (uzun yol–uzun tel, dar yol–ince tel vb.) yararlanarak önceki aşamalarda edindikleri bilgileri değerlendirebilir ve elektriksel direnç ile ampul parlaklığı arasındaki ilişkiyi fark edebilir. Bu süreçte “Daha parlak bir ampul elde etmek için devrede hangi değişiklikler yapılabilir?” gibi sorular üzerinden tartışma ortamı oluşturulabilir. </w:t>
            </w:r>
          </w:p>
          <w:p w14:paraId="422572D7" w14:textId="77777777" w:rsidR="006578B8" w:rsidRDefault="006578B8" w:rsidP="00B51015">
            <w:pPr>
              <w:tabs>
                <w:tab w:val="left" w:pos="415"/>
              </w:tabs>
              <w:spacing w:after="0"/>
              <w:rPr>
                <w:rFonts w:asciiTheme="minorHAnsi" w:hAnsiTheme="minorHAnsi" w:cstheme="minorHAnsi"/>
                <w:sz w:val="18"/>
                <w:szCs w:val="18"/>
              </w:rPr>
            </w:pPr>
            <w:r w:rsidRPr="006578B8">
              <w:rPr>
                <w:rFonts w:asciiTheme="minorHAnsi" w:hAnsiTheme="minorHAnsi" w:cstheme="minorHAnsi"/>
                <w:sz w:val="18"/>
                <w:szCs w:val="18"/>
              </w:rPr>
              <w:t xml:space="preserve">Öğrenciler öğrendikleri bilgileri yeni durumlara (farklı devreler, farklı iletkenler) uygulayabilir ve genellemelere ulaşabilir. </w:t>
            </w:r>
          </w:p>
          <w:p w14:paraId="32FED261" w14:textId="6A044DB1" w:rsidR="00A401FA" w:rsidRPr="008C2B06" w:rsidRDefault="006578B8" w:rsidP="00B51015">
            <w:pPr>
              <w:tabs>
                <w:tab w:val="left" w:pos="415"/>
              </w:tabs>
              <w:spacing w:after="0"/>
              <w:rPr>
                <w:rFonts w:asciiTheme="minorHAnsi" w:hAnsiTheme="minorHAnsi" w:cstheme="minorHAnsi"/>
                <w:sz w:val="18"/>
                <w:szCs w:val="18"/>
              </w:rPr>
            </w:pPr>
            <w:r w:rsidRPr="006578B8">
              <w:rPr>
                <w:rFonts w:asciiTheme="minorHAnsi" w:hAnsiTheme="minorHAnsi" w:cstheme="minorHAnsi"/>
                <w:sz w:val="18"/>
                <w:szCs w:val="18"/>
              </w:rPr>
              <w:t>Pekiştirme İstasyonu etkinlikleri ve çalışma yaprakları aracılığıyla farklı devre senaryolarını analiz edebilir, ampul parlaklığını etkileyen değişkenleri belirleyebilir. Ayrıca proje ödevi, deney raporu, tablo ve grafik oluşturma gibi çalışmalarla elde ettikleri verileri ifade edebilir. Soru-cevap ve tartışma teknikleri ile öğrencilerin bilimsel çıkarım yapmaları desteklenebilir ve öğrenmeleri kalıcı hâle getirilebilir.</w:t>
            </w:r>
          </w:p>
        </w:tc>
      </w:tr>
    </w:tbl>
    <w:p w14:paraId="769EA9E3" w14:textId="100B5FD8" w:rsidR="00A63678" w:rsidRPr="008C2B06" w:rsidRDefault="009C6E8A"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C05A6F" w:rsidRPr="008C2B06" w14:paraId="1E0104D0" w14:textId="77777777" w:rsidTr="00076A9A">
        <w:trPr>
          <w:trHeight w:val="1226"/>
          <w:jc w:val="center"/>
        </w:trPr>
        <w:tc>
          <w:tcPr>
            <w:tcW w:w="10746" w:type="dxa"/>
            <w:vAlign w:val="center"/>
          </w:tcPr>
          <w:p w14:paraId="399B1E10"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Bilgi düzeyi </w:t>
            </w:r>
            <w:r w:rsidRPr="006077AD">
              <w:rPr>
                <w:rFonts w:cs="Calibri"/>
                <w:b/>
                <w:bCs/>
                <w:sz w:val="18"/>
                <w:szCs w:val="18"/>
              </w:rPr>
              <w:t>doğru–yanlış, çoktan seçmeli, kısa cevaplı sorular</w:t>
            </w:r>
            <w:r w:rsidRPr="006077AD">
              <w:rPr>
                <w:rFonts w:cs="Calibri"/>
                <w:sz w:val="18"/>
                <w:szCs w:val="18"/>
              </w:rPr>
              <w:t xml:space="preserve"> ile ölçülür.</w:t>
            </w:r>
          </w:p>
          <w:p w14:paraId="0EDD2282"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Deney tasarlama ve devre kurma</w:t>
            </w:r>
            <w:r w:rsidRPr="006077AD">
              <w:rPr>
                <w:rFonts w:cs="Calibri"/>
                <w:sz w:val="18"/>
                <w:szCs w:val="18"/>
              </w:rPr>
              <w:t xml:space="preserve"> süreçleri gözlem formlarıyla değerlendirilir.</w:t>
            </w:r>
          </w:p>
          <w:p w14:paraId="54818EC5"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Ampul parlaklığını etkileyen faktörler (pil sayısı, ampul sayısı, iletkenin uzunluğu/kalınlığı vb.)</w:t>
            </w:r>
            <w:r w:rsidRPr="006077AD">
              <w:rPr>
                <w:rFonts w:cs="Calibri"/>
                <w:sz w:val="18"/>
                <w:szCs w:val="18"/>
              </w:rPr>
              <w:t xml:space="preserve"> deneysel olarak incelenir.</w:t>
            </w:r>
          </w:p>
          <w:p w14:paraId="094F0897"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Ölçüm sonuçları </w:t>
            </w:r>
            <w:r w:rsidRPr="006077AD">
              <w:rPr>
                <w:rFonts w:cs="Calibri"/>
                <w:b/>
                <w:bCs/>
                <w:sz w:val="18"/>
                <w:szCs w:val="18"/>
              </w:rPr>
              <w:t>tablo, grafik veya rapor</w:t>
            </w:r>
            <w:r w:rsidRPr="006077AD">
              <w:rPr>
                <w:rFonts w:cs="Calibri"/>
                <w:sz w:val="18"/>
                <w:szCs w:val="18"/>
              </w:rPr>
              <w:t xml:space="preserve"> halinde sunulur.</w:t>
            </w:r>
          </w:p>
          <w:p w14:paraId="38094759"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 xml:space="preserve">Dijital içerikler (EBA animasyonları, simülasyonlar, </w:t>
            </w:r>
            <w:proofErr w:type="spellStart"/>
            <w:r w:rsidRPr="006077AD">
              <w:rPr>
                <w:rFonts w:cs="Calibri"/>
                <w:b/>
                <w:bCs/>
                <w:sz w:val="18"/>
                <w:szCs w:val="18"/>
              </w:rPr>
              <w:t>quizler</w:t>
            </w:r>
            <w:proofErr w:type="spellEnd"/>
            <w:r w:rsidRPr="006077AD">
              <w:rPr>
                <w:rFonts w:cs="Calibri"/>
                <w:b/>
                <w:bCs/>
                <w:sz w:val="18"/>
                <w:szCs w:val="18"/>
              </w:rPr>
              <w:t>)</w:t>
            </w:r>
            <w:r w:rsidRPr="006077AD">
              <w:rPr>
                <w:rFonts w:cs="Calibri"/>
                <w:sz w:val="18"/>
                <w:szCs w:val="18"/>
              </w:rPr>
              <w:t xml:space="preserve"> ile öğrenme desteklenir.</w:t>
            </w:r>
          </w:p>
          <w:p w14:paraId="5702E78A" w14:textId="77777777" w:rsidR="00C05A6F" w:rsidRPr="006077AD" w:rsidRDefault="00C05A6F" w:rsidP="00B51015">
            <w:pPr>
              <w:spacing w:after="0"/>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Akran değerlendirmesi ve grup çalışmaları</w:t>
            </w:r>
            <w:r w:rsidRPr="006077AD">
              <w:rPr>
                <w:rFonts w:cs="Calibri"/>
                <w:sz w:val="18"/>
                <w:szCs w:val="18"/>
              </w:rPr>
              <w:t xml:space="preserve"> ile süreç gözlemlenir.</w:t>
            </w:r>
          </w:p>
          <w:p w14:paraId="4F843563" w14:textId="25797A8B" w:rsidR="00C05A6F" w:rsidRPr="008C2B06" w:rsidRDefault="00C05A6F" w:rsidP="00B51015">
            <w:pPr>
              <w:spacing w:after="0"/>
              <w:rPr>
                <w:rFonts w:asciiTheme="minorHAnsi" w:eastAsiaTheme="minorEastAsia" w:hAnsiTheme="minorHAnsi" w:cstheme="minorHAnsi"/>
                <w:color w:val="000000" w:themeColor="text1"/>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Deney raporu, poster veya proje çalışmaları</w:t>
            </w:r>
            <w:r w:rsidRPr="006077AD">
              <w:rPr>
                <w:rFonts w:cs="Calibri"/>
                <w:sz w:val="18"/>
                <w:szCs w:val="18"/>
              </w:rPr>
              <w:t xml:space="preserve"> performans görevi olarak değerlendirilir.</w:t>
            </w:r>
          </w:p>
        </w:tc>
      </w:tr>
    </w:tbl>
    <w:p w14:paraId="28225DFB" w14:textId="45152C72" w:rsidR="00A63678" w:rsidRPr="008C2B06" w:rsidRDefault="00A6367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19DC725D" w14:textId="12620C06" w:rsidR="00B51015" w:rsidRPr="00B51015" w:rsidRDefault="00B51015" w:rsidP="00B51015">
            <w:pPr>
              <w:spacing w:after="0"/>
              <w:rPr>
                <w:rFonts w:asciiTheme="minorHAnsi" w:eastAsiaTheme="minorEastAsia" w:hAnsiTheme="minorHAnsi" w:cstheme="minorHAnsi"/>
                <w:bCs/>
                <w:color w:val="000000" w:themeColor="text1"/>
                <w:sz w:val="18"/>
                <w:szCs w:val="18"/>
              </w:rPr>
            </w:pPr>
            <w:r w:rsidRPr="00B51015">
              <w:rPr>
                <w:rFonts w:ascii="Segoe UI Emoji" w:eastAsiaTheme="minorEastAsia" w:hAnsi="Segoe UI Emoji" w:cs="Segoe UI Emoji"/>
                <w:b/>
                <w:bCs/>
                <w:color w:val="000000" w:themeColor="text1"/>
                <w:sz w:val="18"/>
                <w:szCs w:val="18"/>
              </w:rPr>
              <w:t>🔹</w:t>
            </w:r>
            <w:r w:rsidRPr="00B51015">
              <w:rPr>
                <w:rFonts w:asciiTheme="minorHAnsi" w:eastAsiaTheme="minorEastAsia" w:hAnsiTheme="minorHAnsi" w:cstheme="minorHAnsi"/>
                <w:b/>
                <w:bCs/>
                <w:color w:val="000000" w:themeColor="text1"/>
                <w:sz w:val="18"/>
                <w:szCs w:val="18"/>
              </w:rPr>
              <w:t xml:space="preserve"> Matematik Dersi ile İlişkilendirme:</w:t>
            </w:r>
            <w:r>
              <w:rPr>
                <w:rFonts w:asciiTheme="minorHAnsi" w:eastAsiaTheme="minorEastAsia" w:hAnsiTheme="minorHAnsi" w:cstheme="minorHAnsi"/>
                <w:b/>
                <w:bCs/>
                <w:color w:val="000000" w:themeColor="text1"/>
                <w:sz w:val="18"/>
                <w:szCs w:val="18"/>
              </w:rPr>
              <w:t xml:space="preserve"> </w:t>
            </w:r>
            <w:r w:rsidRPr="00B51015">
              <w:rPr>
                <w:rFonts w:asciiTheme="minorHAnsi" w:eastAsiaTheme="minorEastAsia" w:hAnsiTheme="minorHAnsi" w:cstheme="minorHAnsi"/>
                <w:bCs/>
                <w:color w:val="000000" w:themeColor="text1"/>
                <w:sz w:val="18"/>
                <w:szCs w:val="18"/>
              </w:rPr>
              <w:t>Bu derste öğrenciler ampul parlaklığını etkileyen değişkenleri incelerken veri toplama, tablo oluşturma ve karşılaştırma yapabilir. Ölçülen parlaklık değişimleri üzerinden oran, karşılaştırma ve grafik yorumlama becerilerini geliştirebilir.</w:t>
            </w:r>
          </w:p>
          <w:p w14:paraId="55B5B049" w14:textId="51753476" w:rsidR="00B51015" w:rsidRPr="00B51015" w:rsidRDefault="00B51015" w:rsidP="00B51015">
            <w:pPr>
              <w:spacing w:after="0"/>
              <w:rPr>
                <w:rFonts w:asciiTheme="minorHAnsi" w:eastAsiaTheme="minorEastAsia" w:hAnsiTheme="minorHAnsi" w:cstheme="minorHAnsi"/>
                <w:bCs/>
                <w:color w:val="000000" w:themeColor="text1"/>
                <w:sz w:val="18"/>
                <w:szCs w:val="18"/>
              </w:rPr>
            </w:pPr>
            <w:r w:rsidRPr="00B51015">
              <w:rPr>
                <w:rFonts w:ascii="Segoe UI Emoji" w:eastAsiaTheme="minorEastAsia" w:hAnsi="Segoe UI Emoji" w:cs="Segoe UI Emoji"/>
                <w:b/>
                <w:bCs/>
                <w:color w:val="000000" w:themeColor="text1"/>
                <w:sz w:val="18"/>
                <w:szCs w:val="18"/>
              </w:rPr>
              <w:t>🔹</w:t>
            </w:r>
            <w:r w:rsidRPr="00B51015">
              <w:rPr>
                <w:rFonts w:asciiTheme="minorHAnsi" w:eastAsiaTheme="minorEastAsia" w:hAnsiTheme="minorHAnsi" w:cstheme="minorHAnsi"/>
                <w:b/>
                <w:bCs/>
                <w:color w:val="000000" w:themeColor="text1"/>
                <w:sz w:val="18"/>
                <w:szCs w:val="18"/>
              </w:rPr>
              <w:t xml:space="preserve"> Türkçe Dersi ile </w:t>
            </w:r>
            <w:r w:rsidRPr="00B51015">
              <w:rPr>
                <w:rFonts w:asciiTheme="minorHAnsi" w:eastAsiaTheme="minorEastAsia" w:hAnsiTheme="minorHAnsi" w:cstheme="minorHAnsi"/>
                <w:b/>
                <w:bCs/>
                <w:color w:val="000000" w:themeColor="text1"/>
                <w:sz w:val="18"/>
                <w:szCs w:val="18"/>
              </w:rPr>
              <w:t>İlişkilendirme:</w:t>
            </w:r>
            <w:r>
              <w:rPr>
                <w:rFonts w:asciiTheme="minorHAnsi" w:eastAsiaTheme="minorEastAsia" w:hAnsiTheme="minorHAnsi" w:cstheme="minorHAnsi"/>
                <w:b/>
                <w:bCs/>
                <w:color w:val="000000" w:themeColor="text1"/>
                <w:sz w:val="18"/>
                <w:szCs w:val="18"/>
              </w:rPr>
              <w:t xml:space="preserve"> </w:t>
            </w:r>
            <w:r w:rsidRPr="00B51015">
              <w:rPr>
                <w:rFonts w:asciiTheme="minorHAnsi" w:eastAsiaTheme="minorEastAsia" w:hAnsiTheme="minorHAnsi" w:cstheme="minorHAnsi"/>
                <w:bCs/>
                <w:color w:val="000000" w:themeColor="text1"/>
                <w:sz w:val="18"/>
                <w:szCs w:val="18"/>
              </w:rPr>
              <w:t>Öğrenciler deney süreçlerini ve sonuçlarını sözlü ve yazılı olarak ifade edebilir. Deney raporu yazma, gözlemlerini açıklama ve bilimsel çıkarımlarını ifade etme becerileri gelişebilir.</w:t>
            </w:r>
          </w:p>
          <w:p w14:paraId="3638D423" w14:textId="44917C2B" w:rsidR="00B51015" w:rsidRPr="00B51015" w:rsidRDefault="00B51015" w:rsidP="00B51015">
            <w:pPr>
              <w:spacing w:after="0"/>
              <w:rPr>
                <w:rFonts w:asciiTheme="minorHAnsi" w:eastAsiaTheme="minorEastAsia" w:hAnsiTheme="minorHAnsi" w:cstheme="minorHAnsi"/>
                <w:bCs/>
                <w:color w:val="000000" w:themeColor="text1"/>
                <w:sz w:val="18"/>
                <w:szCs w:val="18"/>
              </w:rPr>
            </w:pPr>
            <w:r w:rsidRPr="00B51015">
              <w:rPr>
                <w:rFonts w:ascii="Segoe UI Emoji" w:eastAsiaTheme="minorEastAsia" w:hAnsi="Segoe UI Emoji" w:cs="Segoe UI Emoji"/>
                <w:b/>
                <w:bCs/>
                <w:color w:val="000000" w:themeColor="text1"/>
                <w:sz w:val="18"/>
                <w:szCs w:val="18"/>
              </w:rPr>
              <w:t>🔹</w:t>
            </w:r>
            <w:r w:rsidRPr="00B51015">
              <w:rPr>
                <w:rFonts w:asciiTheme="minorHAnsi" w:eastAsiaTheme="minorEastAsia" w:hAnsiTheme="minorHAnsi" w:cstheme="minorHAnsi"/>
                <w:b/>
                <w:bCs/>
                <w:color w:val="000000" w:themeColor="text1"/>
                <w:sz w:val="18"/>
                <w:szCs w:val="18"/>
              </w:rPr>
              <w:t xml:space="preserve"> Teknoloji ve Tasarım Dersi ile </w:t>
            </w:r>
            <w:r w:rsidRPr="00B51015">
              <w:rPr>
                <w:rFonts w:asciiTheme="minorHAnsi" w:eastAsiaTheme="minorEastAsia" w:hAnsiTheme="minorHAnsi" w:cstheme="minorHAnsi"/>
                <w:b/>
                <w:bCs/>
                <w:color w:val="000000" w:themeColor="text1"/>
                <w:sz w:val="18"/>
                <w:szCs w:val="18"/>
              </w:rPr>
              <w:t>İlişkilendirme:</w:t>
            </w:r>
            <w:r>
              <w:rPr>
                <w:rFonts w:asciiTheme="minorHAnsi" w:eastAsiaTheme="minorEastAsia" w:hAnsiTheme="minorHAnsi" w:cstheme="minorHAnsi"/>
                <w:b/>
                <w:bCs/>
                <w:color w:val="000000" w:themeColor="text1"/>
                <w:sz w:val="18"/>
                <w:szCs w:val="18"/>
              </w:rPr>
              <w:t xml:space="preserve"> </w:t>
            </w:r>
            <w:r w:rsidRPr="00B51015">
              <w:rPr>
                <w:rFonts w:asciiTheme="minorHAnsi" w:eastAsiaTheme="minorEastAsia" w:hAnsiTheme="minorHAnsi" w:cstheme="minorHAnsi"/>
                <w:bCs/>
                <w:color w:val="000000" w:themeColor="text1"/>
                <w:sz w:val="18"/>
                <w:szCs w:val="18"/>
              </w:rPr>
              <w:t>Öğrenciler elektrik devreleri kurarak ve farklı değişkenleri test ederek tasarım odaklı düşünme becerileri geliştirebilir. Daha verimli çalışan devre modelleri tasarlayabilir.</w:t>
            </w:r>
          </w:p>
          <w:p w14:paraId="3AB485C3" w14:textId="5D4231B3" w:rsidR="00922DCA" w:rsidRPr="008C2B06" w:rsidRDefault="00922DCA" w:rsidP="00B51015">
            <w:pPr>
              <w:spacing w:after="0"/>
              <w:rPr>
                <w:rFonts w:asciiTheme="minorHAnsi" w:eastAsiaTheme="minorEastAsia" w:hAnsiTheme="minorHAnsi" w:cstheme="minorHAnsi"/>
                <w:bCs/>
                <w:color w:val="000000" w:themeColor="text1"/>
                <w:sz w:val="18"/>
                <w:szCs w:val="18"/>
              </w:rPr>
            </w:pPr>
          </w:p>
        </w:tc>
      </w:tr>
    </w:tbl>
    <w:p w14:paraId="51BDF3BC" w14:textId="77777777" w:rsidR="00A63678" w:rsidRPr="008C2B06" w:rsidRDefault="00A6367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B51015">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B51015">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B51015">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B51015">
      <w:pPr>
        <w:spacing w:after="0"/>
        <w:rPr>
          <w:rFonts w:asciiTheme="minorHAnsi" w:hAnsiTheme="minorHAnsi" w:cstheme="minorHAnsi"/>
          <w:b/>
          <w:color w:val="000000" w:themeColor="text1"/>
          <w:sz w:val="18"/>
          <w:szCs w:val="18"/>
        </w:rPr>
      </w:pPr>
    </w:p>
    <w:p w14:paraId="0AA9CA7E" w14:textId="77777777" w:rsidR="007327B8" w:rsidRPr="008C2B06" w:rsidRDefault="007327B8" w:rsidP="00B51015">
      <w:pPr>
        <w:spacing w:after="0"/>
        <w:rPr>
          <w:rFonts w:asciiTheme="minorHAnsi" w:hAnsiTheme="minorHAnsi" w:cstheme="minorHAnsi"/>
          <w:b/>
          <w:color w:val="000000" w:themeColor="text1"/>
          <w:sz w:val="18"/>
          <w:szCs w:val="18"/>
        </w:rPr>
      </w:pPr>
    </w:p>
    <w:p w14:paraId="14810B0A" w14:textId="77777777" w:rsidR="007327B8" w:rsidRPr="008C2B06" w:rsidRDefault="007327B8" w:rsidP="00B51015">
      <w:pPr>
        <w:spacing w:after="0"/>
        <w:rPr>
          <w:rFonts w:asciiTheme="minorHAnsi" w:hAnsiTheme="minorHAnsi" w:cstheme="minorHAnsi"/>
          <w:b/>
          <w:color w:val="000000" w:themeColor="text1"/>
          <w:sz w:val="18"/>
          <w:szCs w:val="18"/>
        </w:rPr>
      </w:pPr>
    </w:p>
    <w:p w14:paraId="1CBDD7DD" w14:textId="6EE7C7CF" w:rsidR="00A63678" w:rsidRPr="008C2B06" w:rsidRDefault="007327B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lastRenderedPageBreak/>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B51015">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B51015">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2"/>
  </w:num>
  <w:num w:numId="6" w16cid:durableId="1053113684">
    <w:abstractNumId w:val="30"/>
  </w:num>
  <w:num w:numId="7" w16cid:durableId="1545557389">
    <w:abstractNumId w:val="31"/>
  </w:num>
  <w:num w:numId="8" w16cid:durableId="1089539652">
    <w:abstractNumId w:val="16"/>
  </w:num>
  <w:num w:numId="9" w16cid:durableId="659115417">
    <w:abstractNumId w:val="28"/>
  </w:num>
  <w:num w:numId="10" w16cid:durableId="2029670170">
    <w:abstractNumId w:val="3"/>
  </w:num>
  <w:num w:numId="11" w16cid:durableId="1850217664">
    <w:abstractNumId w:val="27"/>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6"/>
  </w:num>
  <w:num w:numId="19" w16cid:durableId="927083511">
    <w:abstractNumId w:val="11"/>
  </w:num>
  <w:num w:numId="20" w16cid:durableId="10879620">
    <w:abstractNumId w:val="29"/>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5"/>
  </w:num>
  <w:num w:numId="30" w16cid:durableId="1744140702">
    <w:abstractNumId w:val="22"/>
  </w:num>
  <w:num w:numId="31" w16cid:durableId="924724965">
    <w:abstractNumId w:val="19"/>
  </w:num>
  <w:num w:numId="32" w16cid:durableId="34085578">
    <w:abstractNumId w:val="4"/>
  </w:num>
  <w:num w:numId="33" w16cid:durableId="16909934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23D6"/>
    <w:rsid w:val="000242BA"/>
    <w:rsid w:val="000250FC"/>
    <w:rsid w:val="0004537F"/>
    <w:rsid w:val="00074490"/>
    <w:rsid w:val="00086771"/>
    <w:rsid w:val="00097115"/>
    <w:rsid w:val="000A7DE1"/>
    <w:rsid w:val="000B3197"/>
    <w:rsid w:val="000F6D9A"/>
    <w:rsid w:val="001007E6"/>
    <w:rsid w:val="001058F7"/>
    <w:rsid w:val="00107C8A"/>
    <w:rsid w:val="001241B7"/>
    <w:rsid w:val="00125489"/>
    <w:rsid w:val="00135C2B"/>
    <w:rsid w:val="0015085D"/>
    <w:rsid w:val="00162900"/>
    <w:rsid w:val="001942DC"/>
    <w:rsid w:val="0019454A"/>
    <w:rsid w:val="00197150"/>
    <w:rsid w:val="001A42D7"/>
    <w:rsid w:val="001A50EF"/>
    <w:rsid w:val="001A7BBC"/>
    <w:rsid w:val="001B6F7F"/>
    <w:rsid w:val="001D14CA"/>
    <w:rsid w:val="001E6EE9"/>
    <w:rsid w:val="001F3F95"/>
    <w:rsid w:val="001F48F0"/>
    <w:rsid w:val="001F5062"/>
    <w:rsid w:val="001F51A6"/>
    <w:rsid w:val="002006FE"/>
    <w:rsid w:val="002146AE"/>
    <w:rsid w:val="0021555F"/>
    <w:rsid w:val="0022707D"/>
    <w:rsid w:val="002409C3"/>
    <w:rsid w:val="00261D3B"/>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07E2A"/>
    <w:rsid w:val="00551969"/>
    <w:rsid w:val="00553685"/>
    <w:rsid w:val="00562ECC"/>
    <w:rsid w:val="00572724"/>
    <w:rsid w:val="00581A01"/>
    <w:rsid w:val="00586E50"/>
    <w:rsid w:val="005977B6"/>
    <w:rsid w:val="005A64BA"/>
    <w:rsid w:val="005D5FC3"/>
    <w:rsid w:val="005F6E7A"/>
    <w:rsid w:val="0060598A"/>
    <w:rsid w:val="006220B7"/>
    <w:rsid w:val="0062610C"/>
    <w:rsid w:val="00631C05"/>
    <w:rsid w:val="00635577"/>
    <w:rsid w:val="006578B8"/>
    <w:rsid w:val="00672273"/>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6059"/>
    <w:rsid w:val="00815ECF"/>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602A4"/>
    <w:rsid w:val="00A63678"/>
    <w:rsid w:val="00A646EB"/>
    <w:rsid w:val="00A905F2"/>
    <w:rsid w:val="00AE550F"/>
    <w:rsid w:val="00B120A0"/>
    <w:rsid w:val="00B32ECC"/>
    <w:rsid w:val="00B51015"/>
    <w:rsid w:val="00B6404C"/>
    <w:rsid w:val="00BA53B3"/>
    <w:rsid w:val="00BC085D"/>
    <w:rsid w:val="00BD0DC6"/>
    <w:rsid w:val="00BD6C0E"/>
    <w:rsid w:val="00BE3BB4"/>
    <w:rsid w:val="00C0484C"/>
    <w:rsid w:val="00C05A6F"/>
    <w:rsid w:val="00C15A6A"/>
    <w:rsid w:val="00C27451"/>
    <w:rsid w:val="00C30EFC"/>
    <w:rsid w:val="00C330A9"/>
    <w:rsid w:val="00C52D12"/>
    <w:rsid w:val="00C63331"/>
    <w:rsid w:val="00CC4FD3"/>
    <w:rsid w:val="00CE7BB3"/>
    <w:rsid w:val="00D00E8D"/>
    <w:rsid w:val="00D07EA5"/>
    <w:rsid w:val="00D71F82"/>
    <w:rsid w:val="00DA4B8F"/>
    <w:rsid w:val="00DE2B17"/>
    <w:rsid w:val="00E057A4"/>
    <w:rsid w:val="00E23E6F"/>
    <w:rsid w:val="00E2550A"/>
    <w:rsid w:val="00E45CA2"/>
    <w:rsid w:val="00E45F26"/>
    <w:rsid w:val="00EA4EE5"/>
    <w:rsid w:val="00EA7D7A"/>
    <w:rsid w:val="00EB29C9"/>
    <w:rsid w:val="00EB7E50"/>
    <w:rsid w:val="00EC0095"/>
    <w:rsid w:val="00ED59E7"/>
    <w:rsid w:val="00ED77FC"/>
    <w:rsid w:val="00EE200F"/>
    <w:rsid w:val="00EE7095"/>
    <w:rsid w:val="00F1617F"/>
    <w:rsid w:val="00F2055F"/>
    <w:rsid w:val="00F23E4E"/>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950</Words>
  <Characters>7018</Characters>
  <Application>Microsoft Office Word</Application>
  <DocSecurity>0</DocSecurity>
  <Lines>250</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16</cp:revision>
  <dcterms:created xsi:type="dcterms:W3CDTF">2026-03-21T16:44:00Z</dcterms:created>
  <dcterms:modified xsi:type="dcterms:W3CDTF">2026-03-21T22:38:00Z</dcterms:modified>
</cp:coreProperties>
</file>