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08EA2" w14:textId="77777777" w:rsidR="002154DA" w:rsidRDefault="002154DA" w:rsidP="002154DA">
      <w:pPr>
        <w:jc w:val="center"/>
        <w:rPr>
          <w:b/>
          <w:bCs/>
        </w:rPr>
      </w:pPr>
      <w:r>
        <w:rPr>
          <w:b/>
          <w:bCs/>
        </w:rPr>
        <w:t xml:space="preserve">202…-202… EĞİTİM ÖĞRETİM YILI </w:t>
      </w:r>
      <w:hyperlink r:id="rId5" w:history="1">
        <w:r w:rsidRPr="00925E8E">
          <w:rPr>
            <w:rStyle w:val="Kpr"/>
            <w:b/>
            <w:bCs/>
          </w:rPr>
          <w:t>www.fenusbilim.com</w:t>
        </w:r>
      </w:hyperlink>
      <w:r>
        <w:rPr>
          <w:b/>
          <w:bCs/>
        </w:rPr>
        <w:t xml:space="preserve"> ORTAOKULU </w:t>
      </w:r>
    </w:p>
    <w:p w14:paraId="3A25A894" w14:textId="77777777" w:rsidR="002154DA" w:rsidRPr="002154DA" w:rsidRDefault="002154DA" w:rsidP="002154DA">
      <w:pPr>
        <w:jc w:val="center"/>
        <w:rPr>
          <w:b/>
          <w:bCs/>
        </w:rPr>
      </w:pPr>
      <w:r w:rsidRPr="002154DA">
        <w:rPr>
          <w:b/>
          <w:bCs/>
        </w:rPr>
        <w:t>5. SINIF FEN BİLİMLERİ DERSİ</w:t>
      </w:r>
    </w:p>
    <w:p w14:paraId="51C11479" w14:textId="77777777" w:rsidR="002154DA" w:rsidRPr="002154DA" w:rsidRDefault="002154DA" w:rsidP="002154DA">
      <w:pPr>
        <w:jc w:val="center"/>
        <w:rPr>
          <w:b/>
          <w:bCs/>
        </w:rPr>
      </w:pPr>
      <w:r w:rsidRPr="002154DA">
        <w:rPr>
          <w:b/>
          <w:bCs/>
        </w:rPr>
        <w:t>1. DÖNEM OKUL TEMELLİ PLANLAMA DEĞERLENDİRME RAPORU</w:t>
      </w:r>
    </w:p>
    <w:p w14:paraId="773B5692" w14:textId="31259BEF" w:rsidR="002154DA" w:rsidRPr="002154DA" w:rsidRDefault="002154DA" w:rsidP="002154DA">
      <w:r w:rsidRPr="002154DA">
        <w:t>202</w:t>
      </w:r>
      <w:r>
        <w:t>…</w:t>
      </w:r>
      <w:r w:rsidRPr="002154DA">
        <w:t>–202</w:t>
      </w:r>
      <w:r>
        <w:t>…</w:t>
      </w:r>
      <w:r w:rsidRPr="002154DA">
        <w:t xml:space="preserve"> eğitim öğretim yılı 1. döneminde 5. sınıf Fen Bilimleri dersi kapsamında uygulanan okul temelli planlama çalışmaları, Türkiye Yüzyılı Maarif Modeli (TYMM) doğrultusunda; öğrencilerin bilimsel süreç becerilerini geliştirmek, günlük yaşamla ilişki kurmalarını sağlamak ve değer temelli bir öğrenme ortamı oluşturmak amacıyla planlanmış ve uygulanmıştır.</w:t>
      </w:r>
    </w:p>
    <w:p w14:paraId="3A751F78" w14:textId="77777777" w:rsidR="002154DA" w:rsidRPr="002154DA" w:rsidRDefault="002154DA" w:rsidP="002154DA">
      <w:r w:rsidRPr="002154DA">
        <w:t xml:space="preserve">Dönem boyunca yürütülen çalışmalar, </w:t>
      </w:r>
      <w:r w:rsidRPr="002154DA">
        <w:rPr>
          <w:b/>
          <w:bCs/>
        </w:rPr>
        <w:t>değerler eğitimi</w:t>
      </w:r>
      <w:r w:rsidRPr="002154DA">
        <w:t xml:space="preserve">, </w:t>
      </w:r>
      <w:r w:rsidRPr="002154DA">
        <w:rPr>
          <w:b/>
          <w:bCs/>
        </w:rPr>
        <w:t>yetenek gelişimi</w:t>
      </w:r>
      <w:r w:rsidRPr="002154DA">
        <w:t xml:space="preserve">, </w:t>
      </w:r>
      <w:r w:rsidRPr="002154DA">
        <w:rPr>
          <w:b/>
          <w:bCs/>
        </w:rPr>
        <w:t>yerellik ve millîlik</w:t>
      </w:r>
      <w:r w:rsidRPr="002154DA">
        <w:t xml:space="preserve">, </w:t>
      </w:r>
      <w:r w:rsidRPr="002154DA">
        <w:rPr>
          <w:b/>
          <w:bCs/>
        </w:rPr>
        <w:t>yaşam becerileri</w:t>
      </w:r>
      <w:r w:rsidRPr="002154DA">
        <w:t xml:space="preserve"> ile </w:t>
      </w:r>
      <w:r w:rsidRPr="002154DA">
        <w:rPr>
          <w:b/>
          <w:bCs/>
        </w:rPr>
        <w:t>okul–toplum iş birliği</w:t>
      </w:r>
      <w:r w:rsidRPr="002154DA">
        <w:t xml:space="preserve"> ilkeleri gözetilerek gerçekleştirilmiştir. Öğrencilerin iş birliği, sorumluluk alma, doğaya saygı ve bilimsel dürüstlük gibi değerleri öğrenme sürecine yansıttıkları gözlemlenmiştir.</w:t>
      </w:r>
    </w:p>
    <w:p w14:paraId="3A44FEF5" w14:textId="77777777" w:rsidR="002154DA" w:rsidRPr="002154DA" w:rsidRDefault="002154DA" w:rsidP="002154DA">
      <w:pPr>
        <w:rPr>
          <w:b/>
          <w:bCs/>
        </w:rPr>
      </w:pPr>
      <w:r w:rsidRPr="002154DA">
        <w:rPr>
          <w:b/>
          <w:bCs/>
        </w:rPr>
        <w:t>Ünite Bazlı Değerlendirme</w:t>
      </w:r>
    </w:p>
    <w:p w14:paraId="03F5D7F9" w14:textId="4C297D9C" w:rsidR="002154DA" w:rsidRPr="002154DA" w:rsidRDefault="002154DA" w:rsidP="002154DA">
      <w:r w:rsidRPr="002154DA">
        <w:rPr>
          <w:b/>
          <w:bCs/>
        </w:rPr>
        <w:t>1. Ünite: Güneş, Dünya ve Ay</w:t>
      </w:r>
      <w:r w:rsidRPr="002154DA">
        <w:br/>
        <w:t>Bu ünitede öğrencilerin gök cisimlerinin hareketlerini ve büyüklüklerini modelleme becerileri geliştirilmiştir. “Okulumuzun Gölge Saati” etkinliği ile okul bahçesi öğrenme ortamı olarak kullanılmış</w:t>
      </w:r>
      <w:hyperlink r:id="rId6" w:history="1">
        <w:r w:rsidRPr="002154DA">
          <w:rPr>
            <w:rStyle w:val="Kpr"/>
          </w:rPr>
          <w:t>,</w:t>
        </w:r>
      </w:hyperlink>
      <w:r w:rsidRPr="002154DA">
        <w:t xml:space="preserve"> Ay gözlem günlükleri sayesinde öğrencilerin düzenli gözlem yapma ve verileri kaydetme becerileri desteklenmiştir. Millî Uzay Programı ile kurulan bağlantılar, öğrencilerin millî bilimsel çalışmalara yönelik farkındalıklarını artırmıştır.</w:t>
      </w:r>
    </w:p>
    <w:p w14:paraId="096B0C34" w14:textId="77777777" w:rsidR="002154DA" w:rsidRPr="002154DA" w:rsidRDefault="002154DA" w:rsidP="002154DA">
      <w:r w:rsidRPr="002154DA">
        <w:rPr>
          <w:b/>
          <w:bCs/>
        </w:rPr>
        <w:t>2. Ünite: Kuvveti Tanıyalım</w:t>
      </w:r>
      <w:r w:rsidRPr="002154DA">
        <w:br/>
        <w:t>Sürtünme kuvveti ve kuvvetin günlük yaşamdaki etkileri, okul ortamındaki somut örnekler üzerinden ele alınmıştır. “Okulumuzda Sürtünme Avı” etkinliği ile öğrenciler güvenli yaşam bilinci kazanmış, basit makine istasyonları sayesinde deneyerek öğrenme süreci güçlendirilmiştir. Beden Eğitimi dersi ile kurulan disiplinler arası ilişki, öğrenmenin kalıcılığını artırmıştır.</w:t>
      </w:r>
    </w:p>
    <w:p w14:paraId="6ABFE8D3" w14:textId="19ACEE20" w:rsidR="002154DA" w:rsidRPr="002154DA" w:rsidRDefault="002154DA" w:rsidP="002154DA">
      <w:r w:rsidRPr="002154DA">
        <w:rPr>
          <w:b/>
          <w:bCs/>
        </w:rPr>
        <w:t>3. Ünite: Bitki ve Hayvan Hücresi – Destek ve Hareket Sistemi</w:t>
      </w:r>
      <w:r w:rsidRPr="002154DA">
        <w:br/>
        <w:t>Bu ünitede öğrencilerin model oluşturma, karşılaştırma ve sınıflandırma becerileri ön plana çıkmıştır. Atık malzemelerle yapılan hücre modeli çalışmaları, çevre bilinci ile bilimsel öğrenmeyi bir araya getirmiştir</w:t>
      </w:r>
      <w:hyperlink r:id="rId7" w:history="1">
        <w:r w:rsidRPr="002154DA">
          <w:rPr>
            <w:rStyle w:val="Kpr"/>
          </w:rPr>
          <w:t>.</w:t>
        </w:r>
      </w:hyperlink>
      <w:r w:rsidRPr="002154DA">
        <w:t xml:space="preserve"> Destek ve hareket sistemi etkinlikleri, sağlıklı yaşam ve beslenme konularıyla ilişkilendirilerek yaşam becerilerinin gelişmesine katkı sağlamıştır.</w:t>
      </w:r>
    </w:p>
    <w:p w14:paraId="5F53E0DC" w14:textId="77777777" w:rsidR="002154DA" w:rsidRPr="002154DA" w:rsidRDefault="002154DA" w:rsidP="002154DA">
      <w:pPr>
        <w:rPr>
          <w:b/>
          <w:bCs/>
        </w:rPr>
      </w:pPr>
      <w:r w:rsidRPr="002154DA">
        <w:rPr>
          <w:b/>
          <w:bCs/>
        </w:rPr>
        <w:t>Ölçme, Değerlendirme ve İzleme</w:t>
      </w:r>
    </w:p>
    <w:p w14:paraId="2FE63B94" w14:textId="77777777" w:rsidR="002154DA" w:rsidRPr="002154DA" w:rsidRDefault="002154DA" w:rsidP="002154DA">
      <w:r w:rsidRPr="002154DA">
        <w:t>Dönem boyunca performans görevleri, ürün dosyaları (portfolyo), akran ve öz değerlendirme çalışmaları ile öğrencilerin süreç ve ürün temelli gelişimleri izlenmiştir. Dijital sunumlar, posterler ve görsel çalışmalar, öğrencilerin teknoloji kullanım becerilerini desteklemiştir. Ünite sonlarında yapılan değerlendirmeler sonucunda planlanan etkinliklerin öğrenci ilgisini artırdığı ve öğrenme çıktılarına ulaşılmasını desteklediği görülmüştür.</w:t>
      </w:r>
    </w:p>
    <w:p w14:paraId="2E886692" w14:textId="77777777" w:rsidR="002154DA" w:rsidRPr="002154DA" w:rsidRDefault="002154DA" w:rsidP="002154DA">
      <w:pPr>
        <w:rPr>
          <w:b/>
          <w:bCs/>
        </w:rPr>
      </w:pPr>
      <w:r w:rsidRPr="002154DA">
        <w:rPr>
          <w:b/>
          <w:bCs/>
        </w:rPr>
        <w:t>Genel Değerlendirme</w:t>
      </w:r>
    </w:p>
    <w:p w14:paraId="41D3C5A8" w14:textId="02847B73" w:rsidR="002154DA" w:rsidRPr="002154DA" w:rsidRDefault="002154DA" w:rsidP="002154DA">
      <w:r w:rsidRPr="002154DA">
        <w:t>Genel olarak 1. dönem okul temelli planlama uygulamaları; öğrencilerin aktif katılım sağladığı, okulun fiziki ve çevresel imkânlarının etkili biçimde kullanıldığı ve TYMM yaklaşımıyla uyumlu bir öğrenme süreci sunmuştur</w:t>
      </w:r>
      <w:hyperlink r:id="rId8" w:history="1">
        <w:r w:rsidRPr="002154DA">
          <w:rPr>
            <w:rStyle w:val="Kpr"/>
          </w:rPr>
          <w:t>.</w:t>
        </w:r>
      </w:hyperlink>
      <w:r w:rsidRPr="002154DA">
        <w:t xml:space="preserve"> Öğrencilerin bilimsel düşünme, problem çözme, iş birliği ve sorumluluk alma becerilerinde gözle görülür gelişmeler kaydedilmiştir.</w:t>
      </w:r>
    </w:p>
    <w:p w14:paraId="79C953F4" w14:textId="3A6A5443" w:rsidR="006C2AE0" w:rsidRDefault="002154DA" w:rsidP="002154DA">
      <w:pPr>
        <w:numPr>
          <w:ilvl w:val="0"/>
          <w:numId w:val="1"/>
        </w:numPr>
        <w:tabs>
          <w:tab w:val="clear" w:pos="720"/>
          <w:tab w:val="num" w:pos="284"/>
        </w:tabs>
        <w:ind w:left="0" w:firstLine="0"/>
      </w:pPr>
      <w:proofErr w:type="gramStart"/>
      <w:r w:rsidRPr="002154DA">
        <w:t>dönemde</w:t>
      </w:r>
      <w:proofErr w:type="gramEnd"/>
      <w:r w:rsidRPr="002154DA">
        <w:t>, mevcut uygulamaların geliştirilerek sürdürülmesi; proje tabanlı çalışmalara, okul–toplum iş birliğini güçlendiren etkinliklere ve dijital ürün çeşitliliğine daha fazla yer verilmesi planlanmaktadır.</w:t>
      </w:r>
    </w:p>
    <w:sectPr w:rsidR="006C2AE0" w:rsidSect="002154DA">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3A5C37"/>
    <w:multiLevelType w:val="multilevel"/>
    <w:tmpl w:val="C58AFA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9823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4DA"/>
    <w:rsid w:val="00075426"/>
    <w:rsid w:val="002154DA"/>
    <w:rsid w:val="006C2AE0"/>
    <w:rsid w:val="00C92E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3BEE0"/>
  <w15:chartTrackingRefBased/>
  <w15:docId w15:val="{28EFF05F-3CD5-48E7-94AF-5822F196C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154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154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154D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154D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154D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154D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154D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154D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154D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154D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154D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154D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154D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154D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154D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154D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154D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154DA"/>
    <w:rPr>
      <w:rFonts w:eastAsiaTheme="majorEastAsia" w:cstheme="majorBidi"/>
      <w:color w:val="272727" w:themeColor="text1" w:themeTint="D8"/>
    </w:rPr>
  </w:style>
  <w:style w:type="paragraph" w:styleId="KonuBal">
    <w:name w:val="Title"/>
    <w:basedOn w:val="Normal"/>
    <w:next w:val="Normal"/>
    <w:link w:val="KonuBalChar"/>
    <w:uiPriority w:val="10"/>
    <w:qFormat/>
    <w:rsid w:val="002154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154D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154D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154D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154D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154DA"/>
    <w:rPr>
      <w:i/>
      <w:iCs/>
      <w:color w:val="404040" w:themeColor="text1" w:themeTint="BF"/>
    </w:rPr>
  </w:style>
  <w:style w:type="paragraph" w:styleId="ListeParagraf">
    <w:name w:val="List Paragraph"/>
    <w:basedOn w:val="Normal"/>
    <w:uiPriority w:val="34"/>
    <w:qFormat/>
    <w:rsid w:val="002154DA"/>
    <w:pPr>
      <w:ind w:left="720"/>
      <w:contextualSpacing/>
    </w:pPr>
  </w:style>
  <w:style w:type="character" w:styleId="GlVurgulama">
    <w:name w:val="Intense Emphasis"/>
    <w:basedOn w:val="VarsaylanParagrafYazTipi"/>
    <w:uiPriority w:val="21"/>
    <w:qFormat/>
    <w:rsid w:val="002154DA"/>
    <w:rPr>
      <w:i/>
      <w:iCs/>
      <w:color w:val="0F4761" w:themeColor="accent1" w:themeShade="BF"/>
    </w:rPr>
  </w:style>
  <w:style w:type="paragraph" w:styleId="GlAlnt">
    <w:name w:val="Intense Quote"/>
    <w:basedOn w:val="Normal"/>
    <w:next w:val="Normal"/>
    <w:link w:val="GlAlntChar"/>
    <w:uiPriority w:val="30"/>
    <w:qFormat/>
    <w:rsid w:val="002154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154DA"/>
    <w:rPr>
      <w:i/>
      <w:iCs/>
      <w:color w:val="0F4761" w:themeColor="accent1" w:themeShade="BF"/>
    </w:rPr>
  </w:style>
  <w:style w:type="character" w:styleId="GlBavuru">
    <w:name w:val="Intense Reference"/>
    <w:basedOn w:val="VarsaylanParagrafYazTipi"/>
    <w:uiPriority w:val="32"/>
    <w:qFormat/>
    <w:rsid w:val="002154DA"/>
    <w:rPr>
      <w:b/>
      <w:bCs/>
      <w:smallCaps/>
      <w:color w:val="0F4761" w:themeColor="accent1" w:themeShade="BF"/>
      <w:spacing w:val="5"/>
    </w:rPr>
  </w:style>
  <w:style w:type="character" w:styleId="Kpr">
    <w:name w:val="Hyperlink"/>
    <w:basedOn w:val="VarsaylanParagrafYazTipi"/>
    <w:uiPriority w:val="99"/>
    <w:unhideWhenUsed/>
    <w:rsid w:val="002154DA"/>
    <w:rPr>
      <w:color w:val="467886" w:themeColor="hyperlink"/>
      <w:u w:val="single"/>
    </w:rPr>
  </w:style>
  <w:style w:type="character" w:styleId="zmlenmeyenBahsetme">
    <w:name w:val="Unresolved Mention"/>
    <w:basedOn w:val="VarsaylanParagrafYazTipi"/>
    <w:uiPriority w:val="99"/>
    <w:semiHidden/>
    <w:unhideWhenUsed/>
    <w:rsid w:val="002154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usbilim.com/" TargetMode="External"/><Relationship Id="rId3" Type="http://schemas.openxmlformats.org/officeDocument/2006/relationships/settings" Target="settings.xml"/><Relationship Id="rId7" Type="http://schemas.openxmlformats.org/officeDocument/2006/relationships/hyperlink" Target="http://www.fenusbili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nusbilim.com/" TargetMode="External"/><Relationship Id="rId5" Type="http://schemas.openxmlformats.org/officeDocument/2006/relationships/hyperlink" Target="http://www.fenusbilim.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395</Words>
  <Characters>2967</Characters>
  <Application>Microsoft Office Word</Application>
  <DocSecurity>0</DocSecurity>
  <Lines>44</Lines>
  <Paragraphs>16</Paragraphs>
  <ScaleCrop>false</ScaleCrop>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Müge AYDOĞAN</dc:creator>
  <cp:keywords/>
  <dc:description/>
  <cp:lastModifiedBy>Müge AYDOĞAN</cp:lastModifiedBy>
  <cp:revision>1</cp:revision>
  <dcterms:created xsi:type="dcterms:W3CDTF">2026-01-10T21:07:00Z</dcterms:created>
  <dcterms:modified xsi:type="dcterms:W3CDTF">2026-01-10T21:10:00Z</dcterms:modified>
</cp:coreProperties>
</file>